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2989C1" w14:textId="11474593" w:rsidR="005F6BB8" w:rsidRPr="00A079D3" w:rsidRDefault="005F6BB8" w:rsidP="005F6BB8">
      <w:pPr>
        <w:keepLines/>
        <w:tabs>
          <w:tab w:val="left" w:pos="567"/>
        </w:tabs>
        <w:snapToGrid w:val="0"/>
        <w:rPr>
          <w:rFonts w:ascii="Arial" w:eastAsia="MS Mincho" w:hAnsi="Arial" w:cs="Arial"/>
          <w:b/>
          <w:sz w:val="28"/>
          <w:szCs w:val="28"/>
        </w:rPr>
      </w:pPr>
      <w:bookmarkStart w:id="0" w:name="_Hlk528502858"/>
      <w:r w:rsidRPr="00A079D3">
        <w:rPr>
          <w:rFonts w:ascii="Arial" w:hAnsi="Arial" w:cs="Arial"/>
          <w:b/>
          <w:sz w:val="28"/>
          <w:szCs w:val="28"/>
        </w:rPr>
        <w:t xml:space="preserve">3GPP TSG </w:t>
      </w:r>
      <w:r>
        <w:rPr>
          <w:rFonts w:ascii="Arial" w:hAnsi="Arial" w:cs="Arial"/>
          <w:b/>
          <w:sz w:val="28"/>
          <w:szCs w:val="28"/>
        </w:rPr>
        <w:t>RAN Meeting #105</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612921" w:rsidRPr="00612921">
        <w:rPr>
          <w:rFonts w:ascii="Arial" w:hAnsi="Arial" w:cs="Arial"/>
          <w:b/>
          <w:sz w:val="28"/>
          <w:szCs w:val="28"/>
        </w:rPr>
        <w:t>242025</w:t>
      </w:r>
      <w:r w:rsidR="00612921" w:rsidRPr="00612921" w:rsidDel="00612921">
        <w:rPr>
          <w:rFonts w:ascii="Arial" w:hAnsi="Arial" w:cs="Arial"/>
          <w:b/>
          <w:sz w:val="28"/>
          <w:szCs w:val="28"/>
          <w:highlight w:val="yellow"/>
        </w:rPr>
        <w:t xml:space="preserve"> </w:t>
      </w:r>
    </w:p>
    <w:p w14:paraId="6096A720" w14:textId="77777777" w:rsidR="005F6BB8" w:rsidRPr="00A079D3" w:rsidRDefault="005F6BB8" w:rsidP="005F6BB8">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bookmarkEnd w:id="0"/>
    <w:p w14:paraId="24F4F4A6" w14:textId="77777777" w:rsidR="005F6BB8" w:rsidRDefault="005F6BB8" w:rsidP="000F1261">
      <w:pPr>
        <w:tabs>
          <w:tab w:val="left" w:pos="3300"/>
        </w:tabs>
        <w:spacing w:after="120"/>
        <w:ind w:left="1985" w:hanging="1985"/>
        <w:rPr>
          <w:rFonts w:ascii="Arial" w:hAnsi="Arial" w:cs="Arial"/>
          <w:b/>
          <w:lang w:val="en-US"/>
        </w:rPr>
      </w:pPr>
    </w:p>
    <w:p w14:paraId="43B8EC8A" w14:textId="5BD211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754D930D" w14:textId="77531268" w:rsidR="005F6BB8" w:rsidRPr="00896C6F" w:rsidRDefault="005F6BB8" w:rsidP="005F6BB8">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745365">
        <w:rPr>
          <w:rFonts w:ascii="Arial" w:hAnsi="Arial" w:cs="Arial"/>
          <w:lang w:val="en-US"/>
        </w:rPr>
        <w:t>15</w:t>
      </w:r>
    </w:p>
    <w:p w14:paraId="28574B77"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37F6EC32" w14:textId="6B81A20F"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6D5F54">
        <w:rPr>
          <w:rFonts w:ascii="Arial" w:hAnsi="Arial" w:cs="Arial"/>
          <w:lang w:val="en-US"/>
        </w:rPr>
        <w:t xml:space="preserve">Proposed </w:t>
      </w:r>
      <w:r w:rsidR="00745365">
        <w:rPr>
          <w:rFonts w:ascii="Arial" w:hAnsi="Arial" w:cs="Arial"/>
          <w:lang w:val="en-US"/>
        </w:rPr>
        <w:t>Technical Performance Requirements (TPR) for IMT-2030</w:t>
      </w:r>
    </w:p>
    <w:p w14:paraId="49066BBD" w14:textId="60E8A443"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Discussion</w:t>
      </w:r>
    </w:p>
    <w:p w14:paraId="16601CE3" w14:textId="77777777" w:rsidR="002B6B5E" w:rsidRPr="009177A5" w:rsidRDefault="002B6B5E" w:rsidP="002B6B5E">
      <w:pPr>
        <w:pBdr>
          <w:bottom w:val="single" w:sz="4" w:space="1" w:color="auto"/>
        </w:pBdr>
        <w:rPr>
          <w:rFonts w:ascii="Arial" w:hAnsi="Arial" w:cs="Arial"/>
          <w:lang w:val="en-US"/>
        </w:rPr>
      </w:pPr>
    </w:p>
    <w:p w14:paraId="0040E12C" w14:textId="77777777" w:rsidR="00DB56A2" w:rsidRPr="009177A5" w:rsidRDefault="00DB56A2">
      <w:pPr>
        <w:rPr>
          <w:rFonts w:ascii="Arial" w:hAnsi="Arial" w:cs="Arial"/>
          <w:lang w:val="en-US"/>
        </w:rPr>
      </w:pPr>
    </w:p>
    <w:p w14:paraId="540B0B02" w14:textId="77777777" w:rsidR="00D466E4" w:rsidRDefault="00D2274A" w:rsidP="00D466E4">
      <w:pPr>
        <w:pStyle w:val="Heading1"/>
        <w:rPr>
          <w:lang w:val="en-US"/>
        </w:rPr>
      </w:pPr>
      <w:r>
        <w:rPr>
          <w:lang w:val="en-US"/>
        </w:rPr>
        <w:t>Background</w:t>
      </w:r>
      <w:r w:rsidR="00D466E4" w:rsidRPr="009177A5">
        <w:rPr>
          <w:lang w:val="en-US"/>
        </w:rPr>
        <w:t xml:space="preserve"> </w:t>
      </w:r>
    </w:p>
    <w:p w14:paraId="46B22425" w14:textId="449CE297" w:rsidR="008143CD" w:rsidRDefault="00993AC9" w:rsidP="008143CD">
      <w:pPr>
        <w:pStyle w:val="BodyText"/>
        <w:rPr>
          <w:lang w:val="en-US"/>
        </w:rPr>
      </w:pPr>
      <w:r>
        <w:rPr>
          <w:lang w:val="en-US"/>
        </w:rPr>
        <w:t xml:space="preserve">In ITU-R WP5D, a new report </w:t>
      </w:r>
      <w:r w:rsidR="004859D7">
        <w:rPr>
          <w:lang w:val="en-US"/>
        </w:rPr>
        <w:t xml:space="preserve">on Technical Performance Requirements (TPR) </w:t>
      </w:r>
      <w:r>
        <w:rPr>
          <w:lang w:val="en-US"/>
        </w:rPr>
        <w:t xml:space="preserve">for IMT-2030 is being developed [3] that corresponds to </w:t>
      </w:r>
      <w:r w:rsidRPr="00B40C56">
        <w:rPr>
          <w:lang w:val="en-US"/>
        </w:rPr>
        <w:t>Report ITU-R M.2410</w:t>
      </w:r>
      <w:r>
        <w:rPr>
          <w:lang w:val="en-US"/>
        </w:rPr>
        <w:t xml:space="preserve"> [4] for IMT-2020. The report will define a set of </w:t>
      </w:r>
      <w:r w:rsidRPr="008A45EB">
        <w:rPr>
          <w:i/>
          <w:iCs/>
          <w:lang w:val="en-US"/>
        </w:rPr>
        <w:t>minimum technical performance requirements</w:t>
      </w:r>
      <w:r>
        <w:rPr>
          <w:lang w:val="en-US"/>
        </w:rPr>
        <w:t xml:space="preserve"> for</w:t>
      </w:r>
      <w:r w:rsidRPr="00BF34F1">
        <w:rPr>
          <w:lang w:val="en-US"/>
        </w:rPr>
        <w:t xml:space="preserve"> IMT-20</w:t>
      </w:r>
      <w:r>
        <w:rPr>
          <w:lang w:val="en-US"/>
        </w:rPr>
        <w:t>30</w:t>
      </w:r>
      <w:r w:rsidRPr="00BF34F1">
        <w:rPr>
          <w:lang w:val="en-US"/>
        </w:rPr>
        <w:t xml:space="preserve"> candidate radio interface technologies</w:t>
      </w:r>
      <w:r>
        <w:rPr>
          <w:lang w:val="en-US"/>
        </w:rPr>
        <w:t xml:space="preserve">. Work on the report has been ongoing for two meetings during 2024 and substantial technical input was made by many administrations and other members of ITU-R WP5D. </w:t>
      </w:r>
    </w:p>
    <w:p w14:paraId="5E4098EB" w14:textId="235893C1" w:rsidR="00993AC9" w:rsidRDefault="00993AC9" w:rsidP="008143CD">
      <w:pPr>
        <w:pStyle w:val="BodyText"/>
        <w:rPr>
          <w:lang w:val="en-US"/>
        </w:rPr>
      </w:pPr>
      <w:r>
        <w:rPr>
          <w:lang w:val="en-US"/>
        </w:rPr>
        <w:t>This contribution discusses some of the TPR and the related minimum requirements, based on the WP5D inputs in [1] and [2].</w:t>
      </w:r>
      <w:r w:rsidR="00656B13">
        <w:rPr>
          <w:lang w:val="en-US"/>
        </w:rPr>
        <w:t xml:space="preserve"> An </w:t>
      </w:r>
      <w:r w:rsidR="000C0855">
        <w:rPr>
          <w:lang w:val="en-US"/>
        </w:rPr>
        <w:t>overview of the ongoing WP5D work and status of the planned deliverables is given in [8].</w:t>
      </w:r>
    </w:p>
    <w:p w14:paraId="3B216E31" w14:textId="598CE94F" w:rsidR="00D2274A" w:rsidRDefault="00B26567" w:rsidP="00B26567">
      <w:pPr>
        <w:pStyle w:val="Heading1"/>
        <w:rPr>
          <w:lang w:val="en-US"/>
        </w:rPr>
      </w:pPr>
      <w:r>
        <w:t>TPR “inherited” from IMT-2020 (5G)</w:t>
      </w:r>
      <w:r w:rsidR="00551262">
        <w:rPr>
          <w:lang w:val="en-US"/>
        </w:rPr>
        <w:t xml:space="preserve"> </w:t>
      </w:r>
    </w:p>
    <w:p w14:paraId="458E8BE7" w14:textId="4F84742D" w:rsidR="00F83D14" w:rsidRPr="00CD1FEF" w:rsidRDefault="00F83D14" w:rsidP="00F83D14">
      <w:pPr>
        <w:pStyle w:val="BodyText"/>
      </w:pPr>
      <w:r w:rsidRPr="00CD1FEF">
        <w:rPr>
          <w:lang w:eastAsia="zh-CN"/>
        </w:rPr>
        <w:t xml:space="preserve">The Working document for the draft new Report </w:t>
      </w:r>
      <w:r w:rsidR="002F37BD">
        <w:rPr>
          <w:lang w:eastAsia="zh-CN"/>
        </w:rPr>
        <w:t>on TPR [1]</w:t>
      </w:r>
      <w:r w:rsidRPr="00CD1FEF">
        <w:rPr>
          <w:lang w:eastAsia="zh-CN"/>
        </w:rPr>
        <w:t xml:space="preserve"> lists 16 technical performance requirements, based on the capabilities in ITU-R Recommendation </w:t>
      </w:r>
      <w:hyperlink r:id="rId10" w:history="1">
        <w:r w:rsidRPr="00CD1FEF">
          <w:rPr>
            <w:rStyle w:val="Hyperlink"/>
            <w:lang w:eastAsia="zh-CN"/>
          </w:rPr>
          <w:t>M.2160</w:t>
        </w:r>
      </w:hyperlink>
      <w:r w:rsidRPr="00CD1FEF">
        <w:rPr>
          <w:lang w:eastAsia="zh-CN"/>
        </w:rPr>
        <w:t xml:space="preserve">. Definitions of the TPR use that recommendation plus the legacy definitions for IMT-2020 in </w:t>
      </w:r>
      <w:r w:rsidRPr="00CD1FEF">
        <w:t xml:space="preserve">Report ITU-R report </w:t>
      </w:r>
      <w:hyperlink r:id="rId11" w:history="1">
        <w:r w:rsidRPr="00CD1FEF">
          <w:rPr>
            <w:rStyle w:val="Hyperlink"/>
          </w:rPr>
          <w:t>M.2410</w:t>
        </w:r>
      </w:hyperlink>
      <w:r w:rsidRPr="00CD1FEF">
        <w:t xml:space="preserve"> as a starting point. </w:t>
      </w:r>
    </w:p>
    <w:p w14:paraId="6EC9B3D1" w14:textId="2B49CCA4" w:rsidR="00E665AE" w:rsidRPr="00015657" w:rsidRDefault="00E665AE" w:rsidP="00E665AE">
      <w:pPr>
        <w:pStyle w:val="BodyText"/>
      </w:pPr>
      <w:r>
        <w:rPr>
          <w:lang w:val="en-US"/>
        </w:rPr>
        <w:t xml:space="preserve">A short discussion and first assessment of setting the minimum requirement for </w:t>
      </w:r>
      <w:r w:rsidR="000F08F9">
        <w:rPr>
          <w:lang w:val="en-US"/>
        </w:rPr>
        <w:t>most</w:t>
      </w:r>
      <w:r>
        <w:rPr>
          <w:lang w:val="en-US"/>
        </w:rPr>
        <w:t xml:space="preserve"> of the TPR is given in this section</w:t>
      </w:r>
      <w:r w:rsidR="004D134B">
        <w:rPr>
          <w:lang w:val="en-US"/>
        </w:rPr>
        <w:t xml:space="preserve"> (from [1])</w:t>
      </w:r>
      <w:r>
        <w:rPr>
          <w:lang w:val="en-US"/>
        </w:rPr>
        <w:t xml:space="preserve">. </w:t>
      </w:r>
      <w:r>
        <w:t>A deeper discussion</w:t>
      </w:r>
      <w:r w:rsidRPr="00015657">
        <w:t xml:space="preserve"> and proposals for the following TPR are given </w:t>
      </w:r>
      <w:r>
        <w:t>in the Annex</w:t>
      </w:r>
      <w:r w:rsidR="004D134B">
        <w:t xml:space="preserve"> (from [2])</w:t>
      </w:r>
      <w:r w:rsidRPr="00015657">
        <w:t>:</w:t>
      </w:r>
    </w:p>
    <w:p w14:paraId="4B045349" w14:textId="77777777" w:rsidR="00E665AE" w:rsidRPr="00015657" w:rsidRDefault="00E665AE" w:rsidP="00680A9A">
      <w:pPr>
        <w:pStyle w:val="BodyText"/>
        <w:numPr>
          <w:ilvl w:val="0"/>
          <w:numId w:val="33"/>
        </w:numPr>
        <w:rPr>
          <w:lang w:eastAsia="zh-CN"/>
        </w:rPr>
      </w:pPr>
      <w:r w:rsidRPr="00015657">
        <w:rPr>
          <w:lang w:eastAsia="zh-CN"/>
        </w:rPr>
        <w:t>Joint requirement on Data rate, Latency, and Reliability</w:t>
      </w:r>
    </w:p>
    <w:p w14:paraId="7FFBE2D2" w14:textId="77777777" w:rsidR="00E665AE" w:rsidRPr="00015657" w:rsidRDefault="00E665AE" w:rsidP="00680A9A">
      <w:pPr>
        <w:pStyle w:val="BodyText"/>
        <w:numPr>
          <w:ilvl w:val="0"/>
          <w:numId w:val="33"/>
        </w:numPr>
        <w:rPr>
          <w:lang w:eastAsia="zh-CN"/>
        </w:rPr>
      </w:pPr>
      <w:r w:rsidRPr="00015657">
        <w:rPr>
          <w:lang w:eastAsia="zh-CN"/>
        </w:rPr>
        <w:t>Sensing</w:t>
      </w:r>
    </w:p>
    <w:p w14:paraId="7D39812E" w14:textId="77777777" w:rsidR="00E665AE" w:rsidRPr="00015657" w:rsidRDefault="00E665AE" w:rsidP="00680A9A">
      <w:pPr>
        <w:pStyle w:val="BodyText"/>
        <w:numPr>
          <w:ilvl w:val="0"/>
          <w:numId w:val="33"/>
        </w:numPr>
        <w:rPr>
          <w:lang w:eastAsia="zh-CN"/>
        </w:rPr>
      </w:pPr>
      <w:r w:rsidRPr="00015657">
        <w:rPr>
          <w:lang w:eastAsia="zh-CN"/>
        </w:rPr>
        <w:t>Sustainability</w:t>
      </w:r>
    </w:p>
    <w:p w14:paraId="27F1B39E" w14:textId="34900FDD" w:rsidR="006D5F54" w:rsidRPr="00491CEF" w:rsidRDefault="006D5F54" w:rsidP="006D5F54">
      <w:pPr>
        <w:pStyle w:val="Heading2"/>
      </w:pPr>
      <w:r w:rsidRPr="00491CEF">
        <w:t>Peak data rate</w:t>
      </w:r>
    </w:p>
    <w:p w14:paraId="7F528656" w14:textId="6E30C59A" w:rsidR="006D5F54" w:rsidRPr="00491CEF" w:rsidRDefault="006D5F54" w:rsidP="00C84FC7">
      <w:pPr>
        <w:pStyle w:val="BodyText"/>
      </w:pPr>
      <w:r w:rsidRPr="00491CEF">
        <w:t xml:space="preserve">It is noted that peak data rate is a popular “marker” for performance, but the value is a theoretical maximum under ideal conditions and is never widely reached in real deployments. The minimum requirement should be chosen with this in mind, not to create exaggerated expectations. The number depends directly on peak spectral efficiency (below) and available bandwidth, making it strongly </w:t>
      </w:r>
      <w:r>
        <w:t xml:space="preserve">frequency </w:t>
      </w:r>
      <w:r w:rsidRPr="00491CEF">
        <w:t>band dependent.</w:t>
      </w:r>
    </w:p>
    <w:p w14:paraId="563C0D40" w14:textId="083BE42B" w:rsidR="006D5F54" w:rsidRPr="00491CEF" w:rsidRDefault="006D5F54" w:rsidP="006D5F54">
      <w:pPr>
        <w:pStyle w:val="Heading2"/>
      </w:pPr>
      <w:r>
        <w:t>Peak spectral efficiency</w:t>
      </w:r>
    </w:p>
    <w:p w14:paraId="04BF65E7" w14:textId="77777777" w:rsidR="006D5F54" w:rsidRPr="00491CEF" w:rsidRDefault="006D5F54" w:rsidP="00C84FC7">
      <w:pPr>
        <w:pStyle w:val="BodyText"/>
      </w:pPr>
      <w:r w:rsidRPr="00491CEF">
        <w:t>Substantial increase in peak spectral efficiency is not expected based on new modulation and coding schemes, except for possible larger signal constellations (beyond 256</w:t>
      </w:r>
      <w:r>
        <w:t>-</w:t>
      </w:r>
      <w:r w:rsidRPr="00491CEF">
        <w:t>QAM)</w:t>
      </w:r>
      <w:r w:rsidRPr="00087033">
        <w:t xml:space="preserve"> and increased number of MIMO layers</w:t>
      </w:r>
      <w:r w:rsidRPr="00491CEF">
        <w:t>.</w:t>
      </w:r>
      <w:r>
        <w:t xml:space="preserve"> </w:t>
      </w:r>
    </w:p>
    <w:p w14:paraId="3DB4FDD3" w14:textId="1680A3D2" w:rsidR="006D5F54" w:rsidRPr="00491CEF" w:rsidRDefault="006D5F54" w:rsidP="006D5F54">
      <w:pPr>
        <w:pStyle w:val="Heading2"/>
      </w:pPr>
      <w:r w:rsidRPr="00491CEF">
        <w:t>User experienced data rate</w:t>
      </w:r>
    </w:p>
    <w:p w14:paraId="674BC3D8" w14:textId="77777777" w:rsidR="006D5F54" w:rsidRPr="00491CEF" w:rsidRDefault="006D5F54" w:rsidP="00C84FC7">
      <w:pPr>
        <w:pStyle w:val="BodyText"/>
      </w:pPr>
      <w:r w:rsidRPr="00491CEF">
        <w:t>The user experienced data rate is a metric</w:t>
      </w:r>
      <w:r>
        <w:t xml:space="preserve"> </w:t>
      </w:r>
      <w:r w:rsidRPr="00491CEF">
        <w:t xml:space="preserve">heavily dependent on the deployment </w:t>
      </w:r>
      <w:r>
        <w:t>and would be associated with a</w:t>
      </w:r>
      <w:r w:rsidRPr="00491CEF">
        <w:t xml:space="preserve"> sufficiently dense base station deployment. </w:t>
      </w:r>
      <w:r>
        <w:t>It is derived from the 5</w:t>
      </w:r>
      <w:r w:rsidRPr="006A5C05">
        <w:rPr>
          <w:vertAlign w:val="superscript"/>
        </w:rPr>
        <w:t>th</w:t>
      </w:r>
      <w:r>
        <w:t xml:space="preserve"> percentile user spectral efficiency and</w:t>
      </w:r>
      <w:r w:rsidRPr="006C546E">
        <w:t xml:space="preserve"> </w:t>
      </w:r>
      <w:r>
        <w:t xml:space="preserve">depends directly on </w:t>
      </w:r>
      <w:r w:rsidRPr="00491CEF">
        <w:t>available bandwidth</w:t>
      </w:r>
      <w:r>
        <w:t>.</w:t>
      </w:r>
      <w:r w:rsidRPr="00491CEF">
        <w:t xml:space="preserve"> Different requirements could be considered for different deployment scenarios.</w:t>
      </w:r>
    </w:p>
    <w:p w14:paraId="60A51334" w14:textId="0F976837" w:rsidR="006D5F54" w:rsidRPr="00491CEF" w:rsidRDefault="006D5F54" w:rsidP="006D5F54">
      <w:pPr>
        <w:pStyle w:val="Heading2"/>
      </w:pPr>
      <w:bookmarkStart w:id="1" w:name="_Hlk155874156"/>
      <w:bookmarkStart w:id="2" w:name="_Hlk156165341"/>
      <w:r w:rsidRPr="00491CEF">
        <w:t>5</w:t>
      </w:r>
      <w:r w:rsidRPr="00491CEF">
        <w:rPr>
          <w:vertAlign w:val="superscript"/>
        </w:rPr>
        <w:t>th</w:t>
      </w:r>
      <w:r w:rsidRPr="00491CEF">
        <w:t xml:space="preserve"> percentile user spectral efficiency</w:t>
      </w:r>
      <w:bookmarkEnd w:id="1"/>
    </w:p>
    <w:bookmarkEnd w:id="2"/>
    <w:p w14:paraId="70F96737" w14:textId="77777777" w:rsidR="006D5F54" w:rsidRPr="00491CEF" w:rsidRDefault="006D5F54" w:rsidP="00C84FC7">
      <w:pPr>
        <w:pStyle w:val="BodyText"/>
      </w:pPr>
      <w:r>
        <w:t>A higher requirement is essential for managing increased traffic and higher user data rates, as it is used as a basis for the user experienced data rate number.</w:t>
      </w:r>
    </w:p>
    <w:p w14:paraId="2AF98AB0" w14:textId="1BBA565A" w:rsidR="006D5F54" w:rsidRPr="00491CEF" w:rsidRDefault="006D5F54" w:rsidP="006D5F54">
      <w:pPr>
        <w:pStyle w:val="Heading2"/>
      </w:pPr>
      <w:r w:rsidRPr="00491CEF">
        <w:lastRenderedPageBreak/>
        <w:t>Average spectral efficiency</w:t>
      </w:r>
    </w:p>
    <w:p w14:paraId="38E0BC47" w14:textId="77777777" w:rsidR="006D5F54" w:rsidRPr="00491CEF" w:rsidRDefault="006D5F54" w:rsidP="00C84FC7">
      <w:pPr>
        <w:pStyle w:val="BodyText"/>
      </w:pPr>
      <w:r w:rsidRPr="00491CEF">
        <w:t xml:space="preserve">This is </w:t>
      </w:r>
      <w:r>
        <w:t xml:space="preserve">an essential metric that has direct impact on the </w:t>
      </w:r>
      <w:r w:rsidRPr="00491CEF">
        <w:t xml:space="preserve">area </w:t>
      </w:r>
      <w:r>
        <w:t>traffic capacity achievable</w:t>
      </w:r>
      <w:r w:rsidRPr="00491CEF">
        <w:t>.</w:t>
      </w:r>
      <w:r>
        <w:t xml:space="preserve"> While IMT</w:t>
      </w:r>
      <w:r>
        <w:noBreakHyphen/>
        <w:t>2020 spectral efficiency numbers are already high, it is noted that higher numbers could be achievable with an assumption on having more antenna elements</w:t>
      </w:r>
      <w:r w:rsidRPr="00491CEF">
        <w:t>.</w:t>
      </w:r>
    </w:p>
    <w:p w14:paraId="20A3BEFF" w14:textId="5C84579F" w:rsidR="006D5F54" w:rsidRPr="00491CEF" w:rsidRDefault="006D5F54" w:rsidP="006D5F54">
      <w:pPr>
        <w:pStyle w:val="Heading2"/>
      </w:pPr>
      <w:r w:rsidRPr="00491CEF">
        <w:t>Area traffic capacity</w:t>
      </w:r>
    </w:p>
    <w:p w14:paraId="5119BA98" w14:textId="77777777" w:rsidR="006D5F54" w:rsidRPr="00491CEF" w:rsidRDefault="006D5F54" w:rsidP="00C84FC7">
      <w:pPr>
        <w:pStyle w:val="BodyText"/>
      </w:pPr>
      <w:r w:rsidRPr="00491CEF">
        <w:t xml:space="preserve">In addition to average spectral efficiency, this TPR depends on site density and spectrum availability. The latter two are largely independent of RIT and must be set to reasonable values in a deployment scenario. </w:t>
      </w:r>
    </w:p>
    <w:p w14:paraId="3434A38F" w14:textId="1910B7E9" w:rsidR="006D5F54" w:rsidRPr="00491CEF" w:rsidRDefault="006D5F54" w:rsidP="00133064">
      <w:pPr>
        <w:pStyle w:val="Heading2"/>
      </w:pPr>
      <w:r w:rsidRPr="00491CEF">
        <w:t>User plane latency</w:t>
      </w:r>
    </w:p>
    <w:p w14:paraId="5AF7CC04" w14:textId="77777777" w:rsidR="006D5F54" w:rsidRPr="00491CEF" w:rsidRDefault="006D5F54" w:rsidP="00C84FC7">
      <w:pPr>
        <w:pStyle w:val="BodyText"/>
      </w:pPr>
      <w:r>
        <w:t xml:space="preserve">While low latency is important for several usage scenarios, the contribution from the radio network may not be the bottleneck. Stricter requirement on latency needs to be motivated by convincing use cases, noting that requirements on latency in wired scenarios do not directly translate to wireless. </w:t>
      </w:r>
    </w:p>
    <w:p w14:paraId="6F5AA445" w14:textId="05ADAD00" w:rsidR="006D5F54" w:rsidRPr="00491CEF" w:rsidRDefault="006D5F54" w:rsidP="006D5F54">
      <w:pPr>
        <w:pStyle w:val="Heading2"/>
      </w:pPr>
      <w:r w:rsidRPr="00491CEF">
        <w:t>Connection density</w:t>
      </w:r>
    </w:p>
    <w:p w14:paraId="1CB23F4C" w14:textId="77777777" w:rsidR="006D5F54" w:rsidRDefault="006D5F54" w:rsidP="00EB20E6">
      <w:pPr>
        <w:pStyle w:val="BodyText"/>
      </w:pPr>
      <w:r>
        <w:t xml:space="preserve">The connection density, i.e. devices per area unit, should be complemented with the size of the area that the density applies over. Since device density is use case dependent, multiple areas sizes and related device distributions could be defined. </w:t>
      </w:r>
    </w:p>
    <w:p w14:paraId="7D331894" w14:textId="52848D85" w:rsidR="006D5F54" w:rsidRPr="00491CEF" w:rsidRDefault="006D5F54" w:rsidP="006D5F54">
      <w:pPr>
        <w:pStyle w:val="Heading2"/>
      </w:pPr>
      <w:r w:rsidRPr="00491CEF">
        <w:t>Reliability</w:t>
      </w:r>
    </w:p>
    <w:p w14:paraId="1BD97FBA" w14:textId="674039D5" w:rsidR="006D5F54" w:rsidRDefault="006D5F54" w:rsidP="00EB20E6">
      <w:pPr>
        <w:pStyle w:val="BodyText"/>
      </w:pPr>
      <w:r>
        <w:t>While the minimum requirements for IMT-2020 was set for small packets, including higher data rates would reflect more relevant scenarios. Such scenarios could be defined by a</w:t>
      </w:r>
      <w:r w:rsidRPr="0048405D">
        <w:t xml:space="preserve"> combined requirement o</w:t>
      </w:r>
      <w:r>
        <w:t xml:space="preserve">n </w:t>
      </w:r>
      <w:r w:rsidRPr="0048405D">
        <w:t xml:space="preserve">latency, </w:t>
      </w:r>
      <w:proofErr w:type="gramStart"/>
      <w:r w:rsidRPr="0048405D">
        <w:t>reliability</w:t>
      </w:r>
      <w:proofErr w:type="gramEnd"/>
      <w:r w:rsidRPr="0048405D">
        <w:t xml:space="preserve"> and data rate</w:t>
      </w:r>
      <w:r w:rsidR="006B503A">
        <w:t xml:space="preserve"> as described below</w:t>
      </w:r>
      <w:r>
        <w:t>.</w:t>
      </w:r>
      <w:r w:rsidR="006B503A">
        <w:t xml:space="preserve"> </w:t>
      </w:r>
    </w:p>
    <w:p w14:paraId="78C81DEA" w14:textId="1B74F059" w:rsidR="00F83D14" w:rsidRDefault="00F83D14" w:rsidP="00F83D14">
      <w:pPr>
        <w:pStyle w:val="Heading2"/>
      </w:pPr>
      <w:r>
        <w:t xml:space="preserve">Joint </w:t>
      </w:r>
      <w:r w:rsidRPr="00F83D14">
        <w:t>requirement on Data rate, Latency, and Reliability</w:t>
      </w:r>
    </w:p>
    <w:p w14:paraId="3A3172BE" w14:textId="7D75A5FB" w:rsidR="00F83D14" w:rsidRDefault="006B503A" w:rsidP="00F83D14">
      <w:pPr>
        <w:pStyle w:val="BodyText"/>
      </w:pPr>
      <w:r>
        <w:t xml:space="preserve">A joint requirement would be expressed in a way </w:t>
      </w:r>
      <w:proofErr w:type="gramStart"/>
      <w:r>
        <w:t>similar to</w:t>
      </w:r>
      <w:proofErr w:type="gramEnd"/>
      <w:r>
        <w:t xml:space="preserve"> the IMT-2020 reliability requirement. By setting and evaluating such a requirement with higher data rates </w:t>
      </w:r>
      <w:r w:rsidR="000F08F9">
        <w:t xml:space="preserve">than for IMT-2020 </w:t>
      </w:r>
      <w:r>
        <w:t xml:space="preserve">it would replace </w:t>
      </w:r>
      <w:r w:rsidRPr="00680A9A">
        <w:rPr>
          <w:i/>
          <w:iCs/>
        </w:rPr>
        <w:t>Reliability</w:t>
      </w:r>
      <w:r>
        <w:t xml:space="preserve"> and could cover multiple combinations of </w:t>
      </w:r>
      <w:r w:rsidRPr="006B503A">
        <w:t>Data rate, Latency, and Reliability</w:t>
      </w:r>
      <w:r>
        <w:t xml:space="preserve"> for various use cases.</w:t>
      </w:r>
    </w:p>
    <w:p w14:paraId="4BEFBD19" w14:textId="54BCA40E" w:rsidR="006B503A" w:rsidRPr="00F83D14" w:rsidRDefault="006B503A" w:rsidP="00F83D14">
      <w:pPr>
        <w:pStyle w:val="BodyText"/>
      </w:pPr>
      <w:r>
        <w:t xml:space="preserve">More details on such a </w:t>
      </w:r>
      <w:r w:rsidR="000F08F9">
        <w:t>requirement</w:t>
      </w:r>
      <w:r>
        <w:t xml:space="preserve"> </w:t>
      </w:r>
      <w:proofErr w:type="gramStart"/>
      <w:r>
        <w:t>is</w:t>
      </w:r>
      <w:proofErr w:type="gramEnd"/>
      <w:r>
        <w:t xml:space="preserve"> given in the Annex (A).</w:t>
      </w:r>
    </w:p>
    <w:p w14:paraId="128DCFA1" w14:textId="77777777" w:rsidR="00B26567" w:rsidRPr="00491CEF" w:rsidRDefault="00B26567" w:rsidP="00B26567">
      <w:pPr>
        <w:pStyle w:val="Heading2"/>
      </w:pPr>
      <w:r w:rsidRPr="00491CEF">
        <w:t>Energy efficiency</w:t>
      </w:r>
    </w:p>
    <w:p w14:paraId="656308FC" w14:textId="6A59ADED" w:rsidR="00B26567" w:rsidRDefault="00B26567" w:rsidP="00EB20E6">
      <w:pPr>
        <w:pStyle w:val="BodyText"/>
      </w:pPr>
      <w:r w:rsidRPr="00491CEF">
        <w:t xml:space="preserve">The IMT-2020 requirement for “low energy consumption when there is no data” from Report </w:t>
      </w:r>
      <w:r w:rsidRPr="00D32522">
        <w:t>ITU</w:t>
      </w:r>
      <w:r w:rsidRPr="00D32522">
        <w:noBreakHyphen/>
        <w:t>R M.2410</w:t>
      </w:r>
      <w:r w:rsidRPr="00491CEF">
        <w:t xml:space="preserve"> </w:t>
      </w:r>
      <w:r w:rsidR="00D32522">
        <w:t xml:space="preserve">[4] </w:t>
      </w:r>
      <w:r w:rsidRPr="00491CEF">
        <w:t>is a good reference, but the IMT-2030 requirement should be quantified</w:t>
      </w:r>
      <w:r>
        <w:t xml:space="preserve"> in nature</w:t>
      </w:r>
      <w:r w:rsidRPr="00491CEF">
        <w:t xml:space="preserve">. It is also essential that energy efficiency is not severely hampered by the capabilities of the RIT to operate in different usage scenarios such as Integrated Sensing, </w:t>
      </w:r>
      <w:proofErr w:type="spellStart"/>
      <w:r w:rsidRPr="00491CEF">
        <w:t>hRLLC</w:t>
      </w:r>
      <w:proofErr w:type="spellEnd"/>
      <w:r w:rsidRPr="00491CEF">
        <w:t xml:space="preserve"> or Ubiquitous connectivity.</w:t>
      </w:r>
    </w:p>
    <w:p w14:paraId="752E84EF" w14:textId="5EB130C5" w:rsidR="006B503A" w:rsidRPr="00491CEF" w:rsidRDefault="006B503A" w:rsidP="00EB20E6">
      <w:pPr>
        <w:pStyle w:val="BodyText"/>
      </w:pPr>
      <w:r>
        <w:t>A more detailed proposal for Energy Efficiency is given in the Annex (C).</w:t>
      </w:r>
    </w:p>
    <w:p w14:paraId="0D10221F" w14:textId="70ECA463" w:rsidR="006D5F54" w:rsidRPr="00491CEF" w:rsidRDefault="006D5F54" w:rsidP="006D5F54">
      <w:pPr>
        <w:pStyle w:val="Heading2"/>
      </w:pPr>
      <w:r w:rsidRPr="00491CEF">
        <w:t>Coverage</w:t>
      </w:r>
    </w:p>
    <w:p w14:paraId="0BFA51F5" w14:textId="7573F101" w:rsidR="006D5F54" w:rsidRDefault="006D5F54" w:rsidP="00EB20E6">
      <w:pPr>
        <w:pStyle w:val="BodyText"/>
      </w:pPr>
      <w:r>
        <w:t xml:space="preserve">While the IMT-2020 link budget analysis was for information and without a requirement, coverage is now defined as an IMT-2030 capability. </w:t>
      </w:r>
      <w:r w:rsidR="000F08F9">
        <w:t xml:space="preserve">Coverage could still be </w:t>
      </w:r>
      <w:r w:rsidR="00E67AE2">
        <w:t>evaluated</w:t>
      </w:r>
      <w:r w:rsidR="000F08F9">
        <w:t xml:space="preserve"> </w:t>
      </w:r>
      <w:r w:rsidR="004C1A3D">
        <w:t>through</w:t>
      </w:r>
      <w:r w:rsidR="000F08F9">
        <w:t xml:space="preserve"> a link budget, while it would be possible to derive the SNR for </w:t>
      </w:r>
      <w:r w:rsidR="004C1A3D">
        <w:t>the</w:t>
      </w:r>
      <w:r w:rsidR="000F08F9">
        <w:t xml:space="preserve"> link budget using the method for the Joint requirement in the Annex (A).</w:t>
      </w:r>
      <w:r w:rsidR="00E67AE2">
        <w:t xml:space="preserve"> </w:t>
      </w:r>
      <w:r>
        <w:t xml:space="preserve">How to deploy networks and what radio link and communication quality to support would be up to the network operator and not defined by </w:t>
      </w:r>
      <w:r w:rsidR="000F08F9">
        <w:t xml:space="preserve">any </w:t>
      </w:r>
      <w:r>
        <w:t xml:space="preserve">requirement.  </w:t>
      </w:r>
    </w:p>
    <w:p w14:paraId="1D26D755" w14:textId="3983A058" w:rsidR="006D5F54" w:rsidRPr="00491CEF" w:rsidRDefault="006D5F54" w:rsidP="006D5F54">
      <w:pPr>
        <w:pStyle w:val="Heading2"/>
      </w:pPr>
      <w:r w:rsidRPr="00491CEF">
        <w:t>Positioning</w:t>
      </w:r>
    </w:p>
    <w:p w14:paraId="35A1B7AB" w14:textId="77777777" w:rsidR="006D5F54" w:rsidRDefault="006D5F54" w:rsidP="00EB20E6">
      <w:pPr>
        <w:pStyle w:val="BodyText"/>
      </w:pPr>
      <w:r>
        <w:t>For positioning of active/connected objects, m</w:t>
      </w:r>
      <w:r w:rsidRPr="00DD266B">
        <w:t>inimum requirements should be defined for a limited number of use cases</w:t>
      </w:r>
      <w:r>
        <w:t>.</w:t>
      </w:r>
      <w:r w:rsidRPr="00DD266B">
        <w:t xml:space="preserve"> </w:t>
      </w:r>
      <w:r>
        <w:t>It is noted that the positioning performance depends on the geometry and density of transmitters and receivers. Furthermore,</w:t>
      </w:r>
      <w:r w:rsidRPr="00DD266B">
        <w:t xml:space="preserve"> the </w:t>
      </w:r>
      <w:r>
        <w:t xml:space="preserve">positioning </w:t>
      </w:r>
      <w:r w:rsidRPr="00DD266B">
        <w:t xml:space="preserve">signals </w:t>
      </w:r>
      <w:r>
        <w:t>typically need to be heard</w:t>
      </w:r>
      <w:r w:rsidRPr="00DD266B">
        <w:t xml:space="preserve"> from/at multiple sites</w:t>
      </w:r>
      <w:r>
        <w:t>, which will impact the minimum required signal strength/quality at the receiver</w:t>
      </w:r>
      <w:r w:rsidRPr="00DD266B">
        <w:t xml:space="preserve">. </w:t>
      </w:r>
      <w:r>
        <w:t>Thus,</w:t>
      </w:r>
      <w:r w:rsidRPr="00DD266B">
        <w:t xml:space="preserve"> deployment with advantageous </w:t>
      </w:r>
      <w:r>
        <w:t xml:space="preserve">(serving cell) </w:t>
      </w:r>
      <w:r w:rsidRPr="00DD266B">
        <w:t xml:space="preserve">connectivity does not </w:t>
      </w:r>
      <w:r>
        <w:t xml:space="preserve">in itself </w:t>
      </w:r>
      <w:r w:rsidRPr="00DD266B">
        <w:t>guarantee good positioning</w:t>
      </w:r>
      <w:r>
        <w:t xml:space="preserve"> performance</w:t>
      </w:r>
      <w:r w:rsidRPr="00DD266B">
        <w:t xml:space="preserve">. </w:t>
      </w:r>
      <w:r>
        <w:t>Additionally, both horizontal and vertical positioning accuracy are important, at least for some use cases.</w:t>
      </w:r>
    </w:p>
    <w:p w14:paraId="180FE8AD" w14:textId="77777777" w:rsidR="006D5F54" w:rsidRDefault="006D5F54" w:rsidP="00EB20E6">
      <w:pPr>
        <w:pStyle w:val="BodyText"/>
      </w:pPr>
      <w:r>
        <w:t>It is further noted that p</w:t>
      </w:r>
      <w:r w:rsidRPr="00DD266B">
        <w:t xml:space="preserve">ositioning accuracy on cm-level may only be reached in </w:t>
      </w:r>
      <w:r w:rsidRPr="00B45951">
        <w:t>some specific environments and deployments</w:t>
      </w:r>
      <w:r>
        <w:t>.</w:t>
      </w:r>
    </w:p>
    <w:p w14:paraId="355DE840" w14:textId="0E259053" w:rsidR="006D5F54" w:rsidRPr="00491CEF" w:rsidRDefault="006D5F54" w:rsidP="006D5F54">
      <w:pPr>
        <w:pStyle w:val="Heading2"/>
      </w:pPr>
      <w:r w:rsidRPr="00491CEF">
        <w:lastRenderedPageBreak/>
        <w:t>Sensing-related capabilities</w:t>
      </w:r>
    </w:p>
    <w:p w14:paraId="17BBD327" w14:textId="77777777" w:rsidR="006D5F54" w:rsidRDefault="006D5F54" w:rsidP="00EB20E6">
      <w:pPr>
        <w:pStyle w:val="BodyText"/>
      </w:pPr>
      <w:r w:rsidRPr="00491CEF">
        <w:t xml:space="preserve">In a first step, the objective of sensing </w:t>
      </w:r>
      <w:r>
        <w:t xml:space="preserve">and the related sensing tasks need to be defined, applicable for a limited number of </w:t>
      </w:r>
      <w:r w:rsidRPr="00491CEF">
        <w:t>use cases (e.g.</w:t>
      </w:r>
      <w:r>
        <w:t>,</w:t>
      </w:r>
      <w:r w:rsidRPr="00491CEF">
        <w:t xml:space="preserve"> Smart home, Transport, Industry, UAV)</w:t>
      </w:r>
      <w:r>
        <w:t>.</w:t>
      </w:r>
      <w:r w:rsidRPr="00491CEF">
        <w:t xml:space="preserve"> </w:t>
      </w:r>
      <w:r>
        <w:t>Some examples of sensing tasks are presence/absence detection, localisation of passive/non-connected objects, velocity/direction estimation, distance estimation, condition detection (e.g., weather), etc.</w:t>
      </w:r>
      <w:r w:rsidRPr="00491CEF">
        <w:t xml:space="preserve"> </w:t>
      </w:r>
    </w:p>
    <w:p w14:paraId="1BA04D05" w14:textId="77777777" w:rsidR="006D5F54" w:rsidRDefault="006D5F54" w:rsidP="00EB20E6">
      <w:pPr>
        <w:pStyle w:val="BodyText"/>
      </w:pPr>
      <w:r>
        <w:t xml:space="preserve">For the supported sensing tasks, a limited set of performance metrics needs to be determined for characterizing system-level sensing performance. </w:t>
      </w:r>
      <w:r w:rsidRPr="00491CEF">
        <w:t xml:space="preserve">In the next step test environments </w:t>
      </w:r>
      <w:r>
        <w:t>would be</w:t>
      </w:r>
      <w:r w:rsidRPr="00491CEF">
        <w:t xml:space="preserve"> defined, where the performance </w:t>
      </w:r>
      <w:r>
        <w:t>is</w:t>
      </w:r>
      <w:r w:rsidRPr="00491CEF">
        <w:t xml:space="preserve"> constrained by the deployment geometry and density. </w:t>
      </w:r>
    </w:p>
    <w:p w14:paraId="452B17C3" w14:textId="006ED1BF" w:rsidR="006B503A" w:rsidRPr="00491CEF" w:rsidRDefault="006B503A" w:rsidP="00EB20E6">
      <w:pPr>
        <w:pStyle w:val="BodyText"/>
      </w:pPr>
      <w:r>
        <w:t>Further details are given in the Annex (B).</w:t>
      </w:r>
    </w:p>
    <w:p w14:paraId="6FB78817" w14:textId="76E3349C" w:rsidR="006D5F54" w:rsidRPr="00491CEF" w:rsidRDefault="006D5F54" w:rsidP="006D5F54">
      <w:pPr>
        <w:pStyle w:val="Heading2"/>
      </w:pPr>
      <w:r w:rsidRPr="00491CEF">
        <w:t>AI-related capabilities</w:t>
      </w:r>
    </w:p>
    <w:p w14:paraId="0ACC6846" w14:textId="77777777" w:rsidR="006D5F54" w:rsidRPr="00491CEF" w:rsidRDefault="006D5F54" w:rsidP="00EB20E6">
      <w:pPr>
        <w:pStyle w:val="BodyText"/>
      </w:pPr>
      <w:r>
        <w:t xml:space="preserve">The TPR should relate to the functionalities </w:t>
      </w:r>
      <w:r w:rsidRPr="4B9266B7">
        <w:t xml:space="preserve">needed to support AI-enabled applications, as stated in Recommendation ITU-R </w:t>
      </w:r>
      <w:r w:rsidRPr="4B9266B7">
        <w:rPr>
          <w:lang w:eastAsia="zh-CN"/>
        </w:rPr>
        <w:t>M.2160</w:t>
      </w:r>
      <w:r w:rsidRPr="4B9266B7">
        <w:t xml:space="preserve"> and would thus consist of functional requirements on the RIT for providing those functionalities. Such requirements could be evaluated by analysis or inspection of the RIT as part of the submission template and</w:t>
      </w:r>
      <w:r>
        <w:t xml:space="preserve"> would most likely be qualitative in nature.</w:t>
      </w:r>
    </w:p>
    <w:p w14:paraId="0171FAD3" w14:textId="1E13FC4F" w:rsidR="006D5F54" w:rsidRPr="00491CEF" w:rsidRDefault="006D5F54" w:rsidP="006D5F54">
      <w:pPr>
        <w:pStyle w:val="Heading2"/>
      </w:pPr>
      <w:r w:rsidRPr="00491CEF">
        <w:t>Sustainability</w:t>
      </w:r>
    </w:p>
    <w:p w14:paraId="5DA5E94E" w14:textId="77777777" w:rsidR="006D5F54" w:rsidRPr="00491CEF" w:rsidRDefault="006D5F54" w:rsidP="00EB20E6">
      <w:pPr>
        <w:pStyle w:val="BodyText"/>
      </w:pPr>
      <w:r w:rsidRPr="00491CEF">
        <w:t xml:space="preserve">Sustainability in its broader definition covering economic, </w:t>
      </w:r>
      <w:proofErr w:type="gramStart"/>
      <w:r w:rsidRPr="00491CEF">
        <w:t>social</w:t>
      </w:r>
      <w:proofErr w:type="gramEnd"/>
      <w:r w:rsidRPr="00491CEF">
        <w:t xml:space="preserve"> and environmental aspects may be difficult to define as a TPR that can be evaluated by inspection, analysis or simulation of the RIT. Description of impact from the RIT on sustainability could however be a mandatory part of the submission template.</w:t>
      </w:r>
    </w:p>
    <w:p w14:paraId="1677C7DF" w14:textId="12CBC980" w:rsidR="00551262" w:rsidRDefault="008D5CBA" w:rsidP="00B445A4">
      <w:pPr>
        <w:pStyle w:val="Heading1"/>
        <w:rPr>
          <w:lang w:val="en-US"/>
        </w:rPr>
      </w:pPr>
      <w:r>
        <w:rPr>
          <w:lang w:val="en-US"/>
        </w:rPr>
        <w:t>Summary</w:t>
      </w:r>
    </w:p>
    <w:p w14:paraId="0C3B6E83" w14:textId="776C64E6" w:rsidR="00B445A4" w:rsidRDefault="004859D7" w:rsidP="00896C6F">
      <w:pPr>
        <w:pStyle w:val="BodyText"/>
        <w:rPr>
          <w:lang w:val="en-US"/>
        </w:rPr>
      </w:pPr>
      <w:r>
        <w:rPr>
          <w:lang w:val="en-US"/>
        </w:rPr>
        <w:t>This contribution discusses many of the TPR proposed for IMT-2030 and makes a first assessment on possible minimum requirements</w:t>
      </w:r>
      <w:r w:rsidR="00B445A4">
        <w:rPr>
          <w:lang w:val="en-US"/>
        </w:rPr>
        <w:t>.</w:t>
      </w:r>
      <w:r>
        <w:rPr>
          <w:lang w:val="en-US"/>
        </w:rPr>
        <w:t xml:space="preserve"> The information is presented for consideration by</w:t>
      </w:r>
      <w:r w:rsidR="00D32522">
        <w:rPr>
          <w:lang w:val="en-US"/>
        </w:rPr>
        <w:t xml:space="preserve"> </w:t>
      </w:r>
      <w:r>
        <w:rPr>
          <w:lang w:val="en-US"/>
        </w:rPr>
        <w:t>TSG RAN in its future work on 6G.</w:t>
      </w:r>
    </w:p>
    <w:p w14:paraId="670C0F1F" w14:textId="77777777" w:rsidR="00E665AE" w:rsidRPr="00B445A4" w:rsidRDefault="00E665AE" w:rsidP="00896C6F">
      <w:pPr>
        <w:pStyle w:val="BodyText"/>
        <w:rPr>
          <w:lang w:val="en-US"/>
        </w:rPr>
      </w:pPr>
    </w:p>
    <w:p w14:paraId="5F0B496A" w14:textId="77777777" w:rsidR="00D466E4" w:rsidRPr="009177A5" w:rsidRDefault="00D466E4" w:rsidP="00D466E4">
      <w:pPr>
        <w:pStyle w:val="Heading1"/>
        <w:rPr>
          <w:lang w:val="en-US"/>
        </w:rPr>
      </w:pPr>
      <w:r w:rsidRPr="009177A5">
        <w:rPr>
          <w:lang w:val="en-US"/>
        </w:rPr>
        <w:t>References</w:t>
      </w:r>
    </w:p>
    <w:p w14:paraId="54B9BF79" w14:textId="77777777" w:rsidR="00993AC9" w:rsidRDefault="006D5F54" w:rsidP="00993AC9">
      <w:pPr>
        <w:pStyle w:val="EX"/>
        <w:numPr>
          <w:ilvl w:val="0"/>
          <w:numId w:val="34"/>
        </w:numPr>
        <w:overflowPunct w:val="0"/>
        <w:autoSpaceDE w:val="0"/>
        <w:autoSpaceDN w:val="0"/>
        <w:adjustRightInd w:val="0"/>
        <w:textAlignment w:val="baseline"/>
        <w:rPr>
          <w:lang w:val="en-US"/>
        </w:rPr>
      </w:pPr>
      <w:r w:rsidRPr="00993AC9">
        <w:rPr>
          <w:lang w:val="en-US"/>
        </w:rPr>
        <w:t xml:space="preserve">“Proposed Input for a Working Document Towards a Preliminary Draft New Report ITU-R M.[IMT-2030.TECH PERF REQ]”, Source: </w:t>
      </w:r>
      <w:proofErr w:type="spellStart"/>
      <w:r w:rsidRPr="00993AC9">
        <w:rPr>
          <w:lang w:val="en-US"/>
        </w:rPr>
        <w:t>Telefon</w:t>
      </w:r>
      <w:proofErr w:type="spellEnd"/>
      <w:r w:rsidRPr="00993AC9">
        <w:rPr>
          <w:lang w:val="en-US"/>
        </w:rPr>
        <w:t xml:space="preserve"> AB – LM Ericsson, Document </w:t>
      </w:r>
      <w:hyperlink r:id="rId12" w:history="1">
        <w:r w:rsidRPr="00993AC9">
          <w:rPr>
            <w:rStyle w:val="Hyperlink"/>
            <w:lang w:val="en-US"/>
          </w:rPr>
          <w:t>5D/66</w:t>
        </w:r>
      </w:hyperlink>
      <w:r w:rsidRPr="00993AC9">
        <w:rPr>
          <w:lang w:val="en-US"/>
        </w:rPr>
        <w:t>, 19 January 2024.</w:t>
      </w:r>
    </w:p>
    <w:p w14:paraId="75662515" w14:textId="1DFED839" w:rsidR="00993AC9" w:rsidRPr="00993AC9" w:rsidRDefault="006D5F54" w:rsidP="00993AC9">
      <w:pPr>
        <w:pStyle w:val="EX"/>
        <w:numPr>
          <w:ilvl w:val="0"/>
          <w:numId w:val="34"/>
        </w:numPr>
        <w:overflowPunct w:val="0"/>
        <w:autoSpaceDE w:val="0"/>
        <w:autoSpaceDN w:val="0"/>
        <w:adjustRightInd w:val="0"/>
        <w:textAlignment w:val="baseline"/>
        <w:rPr>
          <w:lang w:val="en-US"/>
        </w:rPr>
      </w:pPr>
      <w:r w:rsidRPr="00993AC9">
        <w:rPr>
          <w:lang w:val="en-US"/>
        </w:rPr>
        <w:t xml:space="preserve">“Proposals for the Working Document Towards a Preliminary Draft New Report ITU-R M.[IMT-2030.TECH PERF REQ]”, Source: </w:t>
      </w:r>
      <w:proofErr w:type="spellStart"/>
      <w:r w:rsidRPr="00993AC9">
        <w:rPr>
          <w:lang w:val="en-US"/>
        </w:rPr>
        <w:t>Telefon</w:t>
      </w:r>
      <w:proofErr w:type="spellEnd"/>
      <w:r w:rsidRPr="00993AC9">
        <w:rPr>
          <w:lang w:val="en-US"/>
        </w:rPr>
        <w:t xml:space="preserve"> AB – LM Ericsson, Document </w:t>
      </w:r>
      <w:hyperlink r:id="rId13" w:history="1">
        <w:r w:rsidRPr="00993AC9">
          <w:rPr>
            <w:rStyle w:val="Hyperlink"/>
            <w:lang w:val="en-US"/>
          </w:rPr>
          <w:t>5D/218</w:t>
        </w:r>
      </w:hyperlink>
      <w:r w:rsidRPr="00993AC9">
        <w:rPr>
          <w:lang w:val="en-US"/>
        </w:rPr>
        <w:t>, 13 June 2024.</w:t>
      </w:r>
    </w:p>
    <w:p w14:paraId="662BF2A2" w14:textId="5EF4EE48" w:rsidR="00993AC9" w:rsidRPr="00993AC9" w:rsidRDefault="00993AC9" w:rsidP="00993AC9">
      <w:pPr>
        <w:pStyle w:val="EX"/>
        <w:numPr>
          <w:ilvl w:val="0"/>
          <w:numId w:val="34"/>
        </w:numPr>
        <w:overflowPunct w:val="0"/>
        <w:autoSpaceDE w:val="0"/>
        <w:autoSpaceDN w:val="0"/>
        <w:adjustRightInd w:val="0"/>
        <w:textAlignment w:val="baseline"/>
        <w:rPr>
          <w:lang w:val="en-US"/>
        </w:rPr>
      </w:pPr>
      <w:r w:rsidRPr="00993AC9">
        <w:rPr>
          <w:lang w:val="en-US"/>
        </w:rPr>
        <w:t xml:space="preserve">“Working Document towards a Preliminary Draft New Report ITU-R M.[IMT-2030.TECH PERF REQ]: Minimum requirements related to technical performance for IMT-2030 radio interface(s)”, </w:t>
      </w:r>
      <w:hyperlink r:id="rId14" w:history="1">
        <w:r w:rsidRPr="00993AC9">
          <w:rPr>
            <w:rStyle w:val="Hyperlink"/>
            <w:lang w:val="en-US"/>
          </w:rPr>
          <w:t>Annex 5.8 to Working Party 5D Chairman’s Report</w:t>
        </w:r>
      </w:hyperlink>
      <w:r w:rsidRPr="00993AC9">
        <w:rPr>
          <w:lang w:val="en-US"/>
        </w:rPr>
        <w:t>.</w:t>
      </w:r>
    </w:p>
    <w:p w14:paraId="30DB8BF5" w14:textId="2E3ED569" w:rsidR="00B46F28" w:rsidRDefault="00993AC9" w:rsidP="00B46F28">
      <w:pPr>
        <w:pStyle w:val="EX"/>
        <w:numPr>
          <w:ilvl w:val="0"/>
          <w:numId w:val="34"/>
        </w:numPr>
        <w:overflowPunct w:val="0"/>
        <w:autoSpaceDE w:val="0"/>
        <w:autoSpaceDN w:val="0"/>
        <w:adjustRightInd w:val="0"/>
        <w:jc w:val="both"/>
        <w:textAlignment w:val="baseline"/>
        <w:rPr>
          <w:lang w:eastAsia="zh-CN"/>
        </w:rPr>
      </w:pPr>
      <w:r w:rsidRPr="00B46F28">
        <w:rPr>
          <w:lang w:val="en-US"/>
        </w:rPr>
        <w:t xml:space="preserve">Report </w:t>
      </w:r>
      <w:hyperlink r:id="rId15" w:history="1">
        <w:r w:rsidRPr="00B46F28">
          <w:rPr>
            <w:rStyle w:val="Hyperlink"/>
            <w:lang w:val="en-US"/>
          </w:rPr>
          <w:t>ITU-R M.2410-0 (11/2017)</w:t>
        </w:r>
      </w:hyperlink>
      <w:r w:rsidRPr="00B46F28">
        <w:rPr>
          <w:lang w:val="en-US"/>
        </w:rPr>
        <w:t>, “Minimum requirements related to technical performance for IMT-2020radio interface(s)”.</w:t>
      </w:r>
    </w:p>
    <w:p w14:paraId="5B1094B0" w14:textId="77777777" w:rsidR="00B46F28" w:rsidRDefault="00B46F28" w:rsidP="00B46F28">
      <w:pPr>
        <w:pStyle w:val="EX"/>
        <w:numPr>
          <w:ilvl w:val="0"/>
          <w:numId w:val="34"/>
        </w:numPr>
        <w:overflowPunct w:val="0"/>
        <w:autoSpaceDE w:val="0"/>
        <w:autoSpaceDN w:val="0"/>
        <w:adjustRightInd w:val="0"/>
        <w:jc w:val="both"/>
        <w:textAlignment w:val="baseline"/>
        <w:rPr>
          <w:lang w:eastAsia="zh-CN"/>
        </w:rPr>
      </w:pPr>
      <w:r w:rsidRPr="00B46F28">
        <w:rPr>
          <w:lang w:eastAsia="zh-CN"/>
        </w:rPr>
        <w:t xml:space="preserve">“A Flexible and Future-Proof Power Model for Cellular Base Stations”, Bjorn </w:t>
      </w:r>
      <w:proofErr w:type="spellStart"/>
      <w:r w:rsidRPr="00B46F28">
        <w:rPr>
          <w:lang w:eastAsia="zh-CN"/>
        </w:rPr>
        <w:t>Debaillie</w:t>
      </w:r>
      <w:proofErr w:type="spellEnd"/>
      <w:r w:rsidRPr="00B46F28">
        <w:rPr>
          <w:lang w:eastAsia="zh-CN"/>
        </w:rPr>
        <w:t xml:space="preserve">, Claude </w:t>
      </w:r>
      <w:proofErr w:type="spellStart"/>
      <w:r w:rsidRPr="00B46F28">
        <w:rPr>
          <w:lang w:eastAsia="zh-CN"/>
        </w:rPr>
        <w:t>Desset</w:t>
      </w:r>
      <w:proofErr w:type="spellEnd"/>
      <w:r w:rsidRPr="00B46F28">
        <w:rPr>
          <w:lang w:eastAsia="zh-CN"/>
        </w:rPr>
        <w:t xml:space="preserve">, Filip </w:t>
      </w:r>
      <w:proofErr w:type="spellStart"/>
      <w:r w:rsidRPr="00B46F28">
        <w:rPr>
          <w:lang w:eastAsia="zh-CN"/>
        </w:rPr>
        <w:t>Louagie</w:t>
      </w:r>
      <w:proofErr w:type="spellEnd"/>
      <w:r w:rsidRPr="00B46F28">
        <w:rPr>
          <w:lang w:eastAsia="zh-CN"/>
        </w:rPr>
        <w:t>, 2015 IEEE 81</w:t>
      </w:r>
      <w:r w:rsidRPr="00B46F28">
        <w:rPr>
          <w:vertAlign w:val="superscript"/>
          <w:lang w:eastAsia="zh-CN"/>
        </w:rPr>
        <w:t>st</w:t>
      </w:r>
      <w:r w:rsidRPr="00B46F28">
        <w:rPr>
          <w:lang w:eastAsia="zh-CN"/>
        </w:rPr>
        <w:t xml:space="preserve"> Vehicular Technology Conference (VTC Spring).</w:t>
      </w:r>
    </w:p>
    <w:p w14:paraId="5AAF22EC" w14:textId="0E85A435" w:rsidR="00B46F28" w:rsidRDefault="00B46F28" w:rsidP="00B46F28">
      <w:pPr>
        <w:pStyle w:val="EX"/>
        <w:numPr>
          <w:ilvl w:val="0"/>
          <w:numId w:val="34"/>
        </w:numPr>
        <w:overflowPunct w:val="0"/>
        <w:autoSpaceDE w:val="0"/>
        <w:autoSpaceDN w:val="0"/>
        <w:adjustRightInd w:val="0"/>
        <w:jc w:val="both"/>
        <w:textAlignment w:val="baseline"/>
        <w:rPr>
          <w:lang w:eastAsia="zh-CN"/>
        </w:rPr>
      </w:pPr>
      <w:r w:rsidRPr="00B46F28">
        <w:rPr>
          <w:lang w:eastAsia="zh-CN"/>
        </w:rPr>
        <w:t xml:space="preserve">“Detailed final evaluation analysis from ATIS WTSC IMT-2020 independent evaluation group for 3GPP proponent submissions of SRIT (IMT-2020/13) &amp; RIT (IMT-2020/14”, (Document </w:t>
      </w:r>
      <w:hyperlink r:id="rId16" w:history="1">
        <w:r w:rsidRPr="00B46F28">
          <w:rPr>
            <w:rStyle w:val="Hyperlink"/>
            <w:lang w:eastAsia="zh-CN"/>
          </w:rPr>
          <w:t>IMT-2020/29 P10</w:t>
        </w:r>
      </w:hyperlink>
      <w:r w:rsidRPr="00B46F28">
        <w:rPr>
          <w:lang w:eastAsia="zh-CN"/>
        </w:rPr>
        <w:t>).</w:t>
      </w:r>
    </w:p>
    <w:p w14:paraId="10624B7F" w14:textId="69AA0415" w:rsidR="00B46F28" w:rsidRDefault="00B46F28" w:rsidP="00B46F28">
      <w:pPr>
        <w:pStyle w:val="EX"/>
        <w:numPr>
          <w:ilvl w:val="0"/>
          <w:numId w:val="34"/>
        </w:numPr>
        <w:overflowPunct w:val="0"/>
        <w:autoSpaceDE w:val="0"/>
        <w:autoSpaceDN w:val="0"/>
        <w:adjustRightInd w:val="0"/>
        <w:jc w:val="both"/>
        <w:textAlignment w:val="baseline"/>
        <w:rPr>
          <w:lang w:eastAsia="zh-CN"/>
        </w:rPr>
      </w:pPr>
      <w:r w:rsidRPr="00B46F28">
        <w:rPr>
          <w:lang w:eastAsia="zh-CN"/>
        </w:rPr>
        <w:t xml:space="preserve">“Study on network energy savings for NR (Release 18)”, 3GPP </w:t>
      </w:r>
      <w:hyperlink r:id="rId17" w:history="1">
        <w:r w:rsidRPr="00B46F28">
          <w:rPr>
            <w:rStyle w:val="Hyperlink"/>
            <w:lang w:eastAsia="zh-CN"/>
          </w:rPr>
          <w:t>TR 38.864</w:t>
        </w:r>
      </w:hyperlink>
      <w:r w:rsidRPr="00B46F28">
        <w:rPr>
          <w:lang w:eastAsia="zh-CN"/>
        </w:rPr>
        <w:t>.</w:t>
      </w:r>
    </w:p>
    <w:p w14:paraId="2715210A" w14:textId="5E6DB713" w:rsidR="000C0855" w:rsidRPr="00B46F28" w:rsidRDefault="000C0855" w:rsidP="00680A9A">
      <w:pPr>
        <w:pStyle w:val="EX"/>
        <w:numPr>
          <w:ilvl w:val="0"/>
          <w:numId w:val="34"/>
        </w:numPr>
        <w:overflowPunct w:val="0"/>
        <w:autoSpaceDE w:val="0"/>
        <w:autoSpaceDN w:val="0"/>
        <w:adjustRightInd w:val="0"/>
        <w:jc w:val="both"/>
        <w:textAlignment w:val="baseline"/>
        <w:rPr>
          <w:lang w:eastAsia="zh-CN"/>
        </w:rPr>
      </w:pPr>
      <w:r>
        <w:rPr>
          <w:lang w:eastAsia="zh-CN"/>
        </w:rPr>
        <w:t>“</w:t>
      </w:r>
      <w:r w:rsidR="00B6425C" w:rsidRPr="00B6425C">
        <w:rPr>
          <w:lang w:eastAsia="zh-CN"/>
        </w:rPr>
        <w:t>Status of work on IMT-2030 in ITU-R WP5D</w:t>
      </w:r>
      <w:r>
        <w:rPr>
          <w:lang w:eastAsia="zh-CN"/>
        </w:rPr>
        <w:t>”</w:t>
      </w:r>
      <w:r w:rsidR="00B6425C">
        <w:rPr>
          <w:lang w:eastAsia="zh-CN"/>
        </w:rPr>
        <w:t>,</w:t>
      </w:r>
      <w:r w:rsidR="00352980">
        <w:rPr>
          <w:lang w:eastAsia="zh-CN"/>
        </w:rPr>
        <w:t xml:space="preserve"> Source: </w:t>
      </w:r>
      <w:r w:rsidR="00352980" w:rsidRPr="00352980">
        <w:rPr>
          <w:lang w:eastAsia="zh-CN"/>
        </w:rPr>
        <w:t>Ericsson, Nokia, Interdigital, Huawei, Samsung, ZTE, Intel Corporatio</w:t>
      </w:r>
      <w:r w:rsidR="00352980">
        <w:rPr>
          <w:lang w:eastAsia="zh-CN"/>
        </w:rPr>
        <w:t>n, Document</w:t>
      </w:r>
      <w:r w:rsidR="00B6425C">
        <w:rPr>
          <w:lang w:eastAsia="zh-CN"/>
        </w:rPr>
        <w:t xml:space="preserve"> RP-242022.</w:t>
      </w:r>
    </w:p>
    <w:p w14:paraId="5A89AB92" w14:textId="77777777" w:rsidR="00993AC9" w:rsidRDefault="00993AC9" w:rsidP="00993AC9">
      <w:pPr>
        <w:pStyle w:val="EX"/>
        <w:overflowPunct w:val="0"/>
        <w:autoSpaceDE w:val="0"/>
        <w:autoSpaceDN w:val="0"/>
        <w:adjustRightInd w:val="0"/>
        <w:ind w:left="426" w:firstLine="0"/>
        <w:textAlignment w:val="baseline"/>
        <w:rPr>
          <w:lang w:val="en-US"/>
        </w:rPr>
      </w:pPr>
    </w:p>
    <w:p w14:paraId="28BFF0A1" w14:textId="751281B5" w:rsidR="00896C6F" w:rsidRPr="005D2EB7" w:rsidRDefault="00F83D14" w:rsidP="00F83D14">
      <w:pPr>
        <w:pStyle w:val="Heading1"/>
        <w:numPr>
          <w:ilvl w:val="0"/>
          <w:numId w:val="0"/>
        </w:numPr>
        <w:ind w:left="432" w:hanging="432"/>
        <w:rPr>
          <w:sz w:val="28"/>
          <w:szCs w:val="22"/>
          <w:lang w:val="en-US"/>
        </w:rPr>
      </w:pPr>
      <w:r w:rsidRPr="005D2EB7">
        <w:rPr>
          <w:sz w:val="28"/>
          <w:szCs w:val="22"/>
          <w:lang w:val="en-US"/>
        </w:rPr>
        <w:br w:type="page"/>
        <w:t>ANNEX:</w:t>
      </w:r>
      <w:r w:rsidRPr="005D2EB7">
        <w:rPr>
          <w:sz w:val="28"/>
          <w:szCs w:val="22"/>
          <w:lang w:val="en-US"/>
        </w:rPr>
        <w:tab/>
        <w:t>Details on some new and updated TPR for IMT-2030</w:t>
      </w:r>
    </w:p>
    <w:p w14:paraId="08F9F367" w14:textId="77777777" w:rsidR="00F83D14" w:rsidRDefault="00F83D14" w:rsidP="00F83D14">
      <w:pPr>
        <w:pStyle w:val="BodyText"/>
        <w:rPr>
          <w:lang w:val="en-US"/>
        </w:rPr>
      </w:pPr>
    </w:p>
    <w:p w14:paraId="18FEAA57" w14:textId="0113B96A" w:rsidR="00F83D14" w:rsidRPr="00CD1FEF" w:rsidRDefault="00F83D14" w:rsidP="00680A9A">
      <w:pPr>
        <w:pStyle w:val="Heading1"/>
        <w:numPr>
          <w:ilvl w:val="0"/>
          <w:numId w:val="32"/>
        </w:numPr>
        <w:rPr>
          <w:lang w:eastAsia="zh-CN"/>
        </w:rPr>
      </w:pPr>
      <w:r w:rsidRPr="00CD1FEF">
        <w:rPr>
          <w:lang w:eastAsia="zh-CN"/>
        </w:rPr>
        <w:t>Joint requirement on Data rate, Latency, and Reliability</w:t>
      </w:r>
      <w:r w:rsidR="00B46F28">
        <w:rPr>
          <w:lang w:eastAsia="zh-CN"/>
        </w:rPr>
        <w:t xml:space="preserve"> (from [2])</w:t>
      </w:r>
    </w:p>
    <w:p w14:paraId="7CD97BB5" w14:textId="77777777" w:rsidR="00F83D14" w:rsidRPr="00CD1FEF" w:rsidRDefault="00F83D14" w:rsidP="00F83D14">
      <w:pPr>
        <w:pStyle w:val="BodyText"/>
        <w:rPr>
          <w:lang w:eastAsia="zh-CN"/>
        </w:rPr>
      </w:pPr>
      <w:r w:rsidRPr="00CD1FEF">
        <w:rPr>
          <w:lang w:eastAsia="zh-CN"/>
        </w:rPr>
        <w:t xml:space="preserve">Presently in the working document, there are separate capabilities listed for latency, data rate (user experienced), and reliability. For IMT-2020, the corresponding TPR for latency was evaluated through analysis and the TPRs for data rate and reliability were evaluated by simulation. </w:t>
      </w:r>
    </w:p>
    <w:p w14:paraId="3E6BCB9F" w14:textId="77777777" w:rsidR="00F83D14" w:rsidRPr="00CD1FEF" w:rsidRDefault="00F83D14" w:rsidP="00F83D14">
      <w:pPr>
        <w:pStyle w:val="BodyText"/>
        <w:rPr>
          <w:lang w:eastAsia="zh-CN"/>
        </w:rPr>
      </w:pPr>
      <w:r w:rsidRPr="00CD1FEF">
        <w:rPr>
          <w:lang w:eastAsia="zh-CN"/>
        </w:rPr>
        <w:t xml:space="preserve">Although being fundamental performance metrics for a Radio Interface Technology (RIT), improved peak bitrate or reduced minimum latency would enable few new use cases seen as individual metrics. IMT-2030 is however not only an extension of the legacy IMT-2020 capabilities, but also an expansion into new use cases within the six usage scenarios of the “wheel diagram”. Many new use cases rely on combinations of data rate, latency, and reliability to function as shown in Figure 1. Examples include extended reality (XR), remote driving and video conferencing. To reflect these new use cases, a Technical Performance Requirement (TPR) is proposed that jointly evaluates the capabilities </w:t>
      </w:r>
      <w:r w:rsidRPr="00CD1FEF">
        <w:rPr>
          <w:i/>
          <w:iCs/>
          <w:lang w:eastAsia="zh-CN"/>
        </w:rPr>
        <w:t>Data rate, Latency</w:t>
      </w:r>
      <w:r w:rsidRPr="00CD1FEF">
        <w:rPr>
          <w:lang w:eastAsia="zh-CN"/>
        </w:rPr>
        <w:t xml:space="preserve"> and </w:t>
      </w:r>
      <w:r w:rsidRPr="00CD1FEF">
        <w:rPr>
          <w:i/>
          <w:iCs/>
          <w:lang w:eastAsia="zh-CN"/>
        </w:rPr>
        <w:t>Reliability</w:t>
      </w:r>
      <w:r w:rsidRPr="00CD1FEF">
        <w:rPr>
          <w:lang w:eastAsia="zh-CN"/>
        </w:rPr>
        <w:t xml:space="preserve">.  </w:t>
      </w:r>
    </w:p>
    <w:p w14:paraId="486F748B" w14:textId="77777777" w:rsidR="00F83D14" w:rsidRPr="00CD1FEF" w:rsidRDefault="00F83D14" w:rsidP="00F83D14">
      <w:pPr>
        <w:pStyle w:val="BodyText"/>
        <w:rPr>
          <w:lang w:eastAsia="zh-CN"/>
        </w:rPr>
      </w:pPr>
      <w:r w:rsidRPr="00CD1FEF">
        <w:rPr>
          <w:lang w:eastAsia="zh-CN"/>
        </w:rPr>
        <w:t>It is proposed that such a TPR is evaluated based on use cases from at least the usage scenarios Immersive Communication and Hyper-Reliable Low Latency Communication. The requirements should be evaluated in a geographical environment and deployment represented by test environments within the usage scenarios. Based on the three examples mentioned above, example test environments could be:</w:t>
      </w:r>
    </w:p>
    <w:p w14:paraId="76D6D3E8" w14:textId="4910B6DF" w:rsidR="00F83D14" w:rsidRPr="00EB20E6" w:rsidRDefault="00F83D14" w:rsidP="00680A9A">
      <w:pPr>
        <w:pStyle w:val="BodyText"/>
        <w:numPr>
          <w:ilvl w:val="0"/>
          <w:numId w:val="35"/>
        </w:numPr>
        <w:rPr>
          <w:lang w:eastAsia="zh-CN"/>
        </w:rPr>
      </w:pPr>
      <w:r w:rsidRPr="00EB20E6">
        <w:rPr>
          <w:lang w:eastAsia="zh-CN"/>
        </w:rPr>
        <w:t xml:space="preserve">XR </w:t>
      </w:r>
      <w:r w:rsidRPr="00EB20E6">
        <w:rPr>
          <w:rFonts w:ascii="Wingdings" w:eastAsia="Wingdings" w:hAnsi="Wingdings" w:cs="Wingdings"/>
          <w:lang w:eastAsia="zh-CN"/>
        </w:rPr>
        <w:t>à</w:t>
      </w:r>
      <w:r w:rsidRPr="00EB20E6">
        <w:rPr>
          <w:lang w:eastAsia="zh-CN"/>
        </w:rPr>
        <w:tab/>
      </w:r>
      <w:r w:rsidRPr="00EB20E6">
        <w:rPr>
          <w:lang w:eastAsia="zh-CN"/>
        </w:rPr>
        <w:tab/>
      </w:r>
      <w:r w:rsidRPr="00EB20E6">
        <w:rPr>
          <w:lang w:eastAsia="zh-CN"/>
        </w:rPr>
        <w:tab/>
        <w:t xml:space="preserve">[Indoor Hotspot – Immersive Communication], </w:t>
      </w:r>
      <w:r w:rsidRPr="00EB20E6">
        <w:rPr>
          <w:lang w:eastAsia="zh-CN"/>
        </w:rPr>
        <w:br/>
      </w:r>
      <w:r w:rsidRPr="00EB20E6">
        <w:rPr>
          <w:lang w:eastAsia="zh-CN"/>
        </w:rPr>
        <w:tab/>
      </w:r>
      <w:r w:rsidRPr="00EB20E6">
        <w:rPr>
          <w:lang w:eastAsia="zh-CN"/>
        </w:rPr>
        <w:tab/>
      </w:r>
      <w:r w:rsidRPr="00EB20E6">
        <w:rPr>
          <w:lang w:eastAsia="zh-CN"/>
        </w:rPr>
        <w:tab/>
        <w:t>[Dense Urban – Immersive Communication]</w:t>
      </w:r>
    </w:p>
    <w:p w14:paraId="2A8C5C33" w14:textId="1EFA1240" w:rsidR="00F83D14" w:rsidRPr="00EB20E6" w:rsidRDefault="00F83D14" w:rsidP="00680A9A">
      <w:pPr>
        <w:pStyle w:val="BodyText"/>
        <w:numPr>
          <w:ilvl w:val="0"/>
          <w:numId w:val="35"/>
        </w:numPr>
        <w:rPr>
          <w:lang w:eastAsia="zh-CN"/>
        </w:rPr>
      </w:pPr>
      <w:r w:rsidRPr="00EB20E6">
        <w:rPr>
          <w:lang w:eastAsia="zh-CN"/>
        </w:rPr>
        <w:t xml:space="preserve">Remote driving </w:t>
      </w:r>
      <w:r w:rsidRPr="00EB20E6">
        <w:rPr>
          <w:rFonts w:ascii="Wingdings" w:eastAsia="Wingdings" w:hAnsi="Wingdings" w:cs="Wingdings"/>
          <w:lang w:eastAsia="zh-CN"/>
        </w:rPr>
        <w:t>à</w:t>
      </w:r>
      <w:r w:rsidRPr="00EB20E6">
        <w:rPr>
          <w:lang w:eastAsia="zh-CN"/>
        </w:rPr>
        <w:tab/>
        <w:t>[Urban Macro – Hyper Reliable and low Latency Communication]</w:t>
      </w:r>
    </w:p>
    <w:p w14:paraId="65B9E02D" w14:textId="7CDCBF07" w:rsidR="00F83D14" w:rsidRPr="00EB20E6" w:rsidRDefault="00F83D14" w:rsidP="00680A9A">
      <w:pPr>
        <w:pStyle w:val="BodyText"/>
        <w:numPr>
          <w:ilvl w:val="0"/>
          <w:numId w:val="35"/>
        </w:numPr>
        <w:rPr>
          <w:lang w:eastAsia="zh-CN"/>
        </w:rPr>
      </w:pPr>
      <w:r w:rsidRPr="00EB20E6">
        <w:rPr>
          <w:lang w:eastAsia="zh-CN"/>
        </w:rPr>
        <w:t xml:space="preserve">Video conferencing </w:t>
      </w:r>
      <w:r w:rsidRPr="00EB20E6">
        <w:rPr>
          <w:rFonts w:ascii="Wingdings" w:eastAsia="Wingdings" w:hAnsi="Wingdings" w:cs="Wingdings"/>
          <w:lang w:eastAsia="zh-CN"/>
        </w:rPr>
        <w:t>à</w:t>
      </w:r>
      <w:r w:rsidRPr="00EB20E6">
        <w:rPr>
          <w:lang w:eastAsia="zh-CN"/>
        </w:rPr>
        <w:tab/>
        <w:t>[Rural – Immersive communication]</w:t>
      </w:r>
    </w:p>
    <w:p w14:paraId="26D9FB69" w14:textId="77777777" w:rsidR="00F83D14" w:rsidRPr="00CD1FEF" w:rsidRDefault="00F83D14" w:rsidP="00F83D14">
      <w:pPr>
        <w:pStyle w:val="BodyText"/>
        <w:rPr>
          <w:lang w:eastAsia="zh-CN"/>
        </w:rPr>
      </w:pPr>
      <w:r w:rsidRPr="00CD1FEF">
        <w:rPr>
          <w:lang w:eastAsia="zh-CN"/>
        </w:rPr>
        <w:t xml:space="preserve">It is noted that the evaluation of reliability for IMT-2020 was a joint evaluation of latency and reliability, set to represent Ultra-Reliable Low Latency Communication with a very low data rate (implicitly given by the object size). It is proposed to use that methodology as a starting point and modify requirements and conditions to represent the new IMT-2030 usage scenarios. The joint requirements would thus replace Reliability, while independent requirements for </w:t>
      </w:r>
      <w:r w:rsidRPr="00CD1FEF">
        <w:rPr>
          <w:i/>
          <w:iCs/>
          <w:lang w:eastAsia="zh-CN"/>
        </w:rPr>
        <w:t>user experienced data rate</w:t>
      </w:r>
      <w:r w:rsidRPr="00CD1FEF">
        <w:rPr>
          <w:lang w:eastAsia="zh-CN"/>
        </w:rPr>
        <w:t xml:space="preserve"> and </w:t>
      </w:r>
      <w:r w:rsidRPr="00CD1FEF">
        <w:rPr>
          <w:i/>
          <w:iCs/>
          <w:lang w:eastAsia="zh-CN"/>
        </w:rPr>
        <w:t>latency</w:t>
      </w:r>
      <w:r w:rsidRPr="00CD1FEF">
        <w:rPr>
          <w:lang w:eastAsia="zh-CN"/>
        </w:rPr>
        <w:t xml:space="preserve"> would remain.    </w:t>
      </w:r>
    </w:p>
    <w:p w14:paraId="138EB58D" w14:textId="54FFD476" w:rsidR="00F83D14" w:rsidRPr="00CD1FEF" w:rsidRDefault="008820FC" w:rsidP="00F83D14">
      <w:pPr>
        <w:keepNext/>
        <w:jc w:val="center"/>
      </w:pPr>
      <w:r>
        <w:rPr>
          <w:noProof/>
          <w:lang w:eastAsia="zh-CN"/>
        </w:rPr>
        <w:drawing>
          <wp:inline distT="0" distB="0" distL="0" distR="0" wp14:anchorId="6D5B9083" wp14:editId="2D70A1E7">
            <wp:extent cx="4253865" cy="2727325"/>
            <wp:effectExtent l="0" t="0" r="0" b="0"/>
            <wp:docPr id="2"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diagram of a 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53865" cy="2727325"/>
                    </a:xfrm>
                    <a:prstGeom prst="rect">
                      <a:avLst/>
                    </a:prstGeom>
                    <a:noFill/>
                    <a:ln>
                      <a:noFill/>
                    </a:ln>
                  </pic:spPr>
                </pic:pic>
              </a:graphicData>
            </a:graphic>
          </wp:inline>
        </w:drawing>
      </w:r>
    </w:p>
    <w:p w14:paraId="64D7A3DC" w14:textId="77777777" w:rsidR="00F83D14" w:rsidRPr="00CD1FEF" w:rsidRDefault="00F83D14" w:rsidP="00F83D14">
      <w:pPr>
        <w:pStyle w:val="Figuretitle"/>
        <w:rPr>
          <w:lang w:eastAsia="zh-CN"/>
        </w:rPr>
      </w:pPr>
      <w:r w:rsidRPr="00CD1FEF">
        <w:t xml:space="preserve">Figure 1: Example use cases requiring different </w:t>
      </w:r>
      <w:r w:rsidRPr="00CD1FEF">
        <w:rPr>
          <w:lang w:eastAsia="zh-CN"/>
        </w:rPr>
        <w:t xml:space="preserve">combinations of data rate, latency, and </w:t>
      </w:r>
      <w:proofErr w:type="gramStart"/>
      <w:r w:rsidRPr="00CD1FEF">
        <w:rPr>
          <w:lang w:eastAsia="zh-CN"/>
        </w:rPr>
        <w:t>reliability</w:t>
      </w:r>
      <w:proofErr w:type="gramEnd"/>
    </w:p>
    <w:p w14:paraId="3FB60D42" w14:textId="77777777" w:rsidR="00F83D14" w:rsidRPr="00CD1FEF" w:rsidRDefault="00F83D14" w:rsidP="00F83D14">
      <w:pPr>
        <w:rPr>
          <w:lang w:eastAsia="zh-CN"/>
        </w:rPr>
      </w:pPr>
    </w:p>
    <w:p w14:paraId="46276AC1" w14:textId="64A4F904" w:rsidR="00F83D14" w:rsidRPr="00CD1FEF" w:rsidRDefault="00F83D14" w:rsidP="00680A9A">
      <w:pPr>
        <w:pStyle w:val="Heading2"/>
        <w:numPr>
          <w:ilvl w:val="0"/>
          <w:numId w:val="32"/>
        </w:numPr>
        <w:rPr>
          <w:lang w:eastAsia="zh-CN"/>
        </w:rPr>
      </w:pPr>
      <w:r w:rsidRPr="00CD1FEF">
        <w:rPr>
          <w:lang w:eastAsia="zh-CN"/>
        </w:rPr>
        <w:t>Sensing-related capabilities</w:t>
      </w:r>
      <w:r w:rsidR="004D134B">
        <w:rPr>
          <w:lang w:eastAsia="zh-CN"/>
        </w:rPr>
        <w:t xml:space="preserve"> (from [2])</w:t>
      </w:r>
    </w:p>
    <w:p w14:paraId="7137366B" w14:textId="77777777" w:rsidR="00F83D14" w:rsidRPr="00CD1FEF" w:rsidRDefault="00F83D14" w:rsidP="00F83D14">
      <w:pPr>
        <w:rPr>
          <w:lang w:eastAsia="zh-CN"/>
        </w:rPr>
      </w:pPr>
      <w:proofErr w:type="gramStart"/>
      <w:r w:rsidRPr="00CD1FEF">
        <w:rPr>
          <w:lang w:eastAsia="zh-CN"/>
        </w:rPr>
        <w:t>In order to</w:t>
      </w:r>
      <w:proofErr w:type="gramEnd"/>
      <w:r w:rsidRPr="00CD1FEF">
        <w:rPr>
          <w:lang w:eastAsia="zh-CN"/>
        </w:rPr>
        <w:t xml:space="preserve"> define TPR for the Sensing-related capabilities, the following process is proposed:</w:t>
      </w:r>
    </w:p>
    <w:p w14:paraId="6E2F8B92" w14:textId="77777777" w:rsidR="00F83D14" w:rsidRPr="00CD1FEF" w:rsidRDefault="00F83D14" w:rsidP="006165DA">
      <w:pPr>
        <w:pStyle w:val="BodyText"/>
        <w:numPr>
          <w:ilvl w:val="0"/>
          <w:numId w:val="27"/>
        </w:numPr>
        <w:ind w:left="709" w:hanging="349"/>
        <w:rPr>
          <w:lang w:eastAsia="zh-CN"/>
        </w:rPr>
      </w:pPr>
      <w:r w:rsidRPr="00CD1FEF">
        <w:rPr>
          <w:lang w:eastAsia="zh-CN"/>
        </w:rPr>
        <w:t>As a first step, the objective of sensing and related sensing tasks should be established.</w:t>
      </w:r>
    </w:p>
    <w:p w14:paraId="310A650A" w14:textId="77777777" w:rsidR="00F83D14" w:rsidRPr="00CD1FEF" w:rsidRDefault="00F83D14" w:rsidP="006165DA">
      <w:pPr>
        <w:pStyle w:val="BodyText"/>
        <w:numPr>
          <w:ilvl w:val="0"/>
          <w:numId w:val="27"/>
        </w:numPr>
        <w:ind w:left="709" w:hanging="349"/>
        <w:rPr>
          <w:lang w:eastAsia="zh-CN"/>
        </w:rPr>
      </w:pPr>
      <w:r w:rsidRPr="00CD1FEF">
        <w:rPr>
          <w:lang w:eastAsia="zh-CN"/>
        </w:rPr>
        <w:t>Relevant environments and use cases should be established, to be used for defining the TPR related to the sensing tasks.</w:t>
      </w:r>
    </w:p>
    <w:p w14:paraId="76D2F3FE" w14:textId="77777777" w:rsidR="00F83D14" w:rsidRPr="00CD1FEF" w:rsidRDefault="00F83D14" w:rsidP="006165DA">
      <w:pPr>
        <w:pStyle w:val="BodyText"/>
        <w:numPr>
          <w:ilvl w:val="0"/>
          <w:numId w:val="27"/>
        </w:numPr>
        <w:ind w:left="709" w:hanging="349"/>
        <w:rPr>
          <w:lang w:eastAsia="zh-CN"/>
        </w:rPr>
      </w:pPr>
      <w:r w:rsidRPr="00CD1FEF">
        <w:rPr>
          <w:lang w:eastAsia="zh-CN"/>
        </w:rPr>
        <w:t>A down-selection of use cases and sensing tasks should be done to limit the scope.</w:t>
      </w:r>
    </w:p>
    <w:p w14:paraId="15E73C6E" w14:textId="77777777" w:rsidR="00F83D14" w:rsidRPr="00CD1FEF" w:rsidRDefault="00F83D14" w:rsidP="006165DA">
      <w:pPr>
        <w:pStyle w:val="BodyText"/>
        <w:numPr>
          <w:ilvl w:val="0"/>
          <w:numId w:val="27"/>
        </w:numPr>
        <w:ind w:left="709" w:hanging="349"/>
        <w:rPr>
          <w:lang w:eastAsia="zh-CN"/>
        </w:rPr>
      </w:pPr>
      <w:r w:rsidRPr="00CD1FEF">
        <w:rPr>
          <w:lang w:eastAsia="zh-CN"/>
        </w:rPr>
        <w:t xml:space="preserve">For the selected sensing tasks, TPRs corresponding to the selected use case(s) are defined. </w:t>
      </w:r>
    </w:p>
    <w:p w14:paraId="630603D4" w14:textId="77777777" w:rsidR="00F83D14" w:rsidRPr="00CD1FEF" w:rsidRDefault="00F83D14" w:rsidP="00F83D14">
      <w:pPr>
        <w:pStyle w:val="BodyText"/>
      </w:pPr>
      <w:r w:rsidRPr="00CD1FEF">
        <w:t>To support a range of use cases, the sensing system will need to support at least some of the basic sensing tasks below:</w:t>
      </w:r>
    </w:p>
    <w:p w14:paraId="78CDBADF" w14:textId="77777777" w:rsidR="00F83D14" w:rsidRPr="00CD1FEF" w:rsidRDefault="00F83D14" w:rsidP="006165DA">
      <w:pPr>
        <w:pStyle w:val="BodyText"/>
        <w:numPr>
          <w:ilvl w:val="0"/>
          <w:numId w:val="22"/>
        </w:numPr>
        <w:ind w:left="709" w:hanging="349"/>
        <w:rPr>
          <w:lang w:eastAsia="zh-CN"/>
        </w:rPr>
      </w:pPr>
      <w:r w:rsidRPr="00CD1FEF">
        <w:rPr>
          <w:lang w:eastAsia="zh-CN"/>
        </w:rPr>
        <w:t xml:space="preserve">Detection, e.g., of: </w:t>
      </w:r>
    </w:p>
    <w:p w14:paraId="0786FB92" w14:textId="77777777" w:rsidR="00F83D14" w:rsidRPr="00CD1FEF" w:rsidRDefault="00F83D14" w:rsidP="006165DA">
      <w:pPr>
        <w:pStyle w:val="BodyText"/>
        <w:numPr>
          <w:ilvl w:val="0"/>
          <w:numId w:val="24"/>
        </w:numPr>
        <w:ind w:left="993" w:hanging="273"/>
        <w:rPr>
          <w:lang w:eastAsia="zh-CN"/>
        </w:rPr>
      </w:pPr>
      <w:r w:rsidRPr="00CD1FEF">
        <w:rPr>
          <w:lang w:eastAsia="zh-CN"/>
        </w:rPr>
        <w:t xml:space="preserve">object presence/ </w:t>
      </w:r>
      <w:proofErr w:type="gramStart"/>
      <w:r w:rsidRPr="00CD1FEF">
        <w:rPr>
          <w:lang w:eastAsia="zh-CN"/>
        </w:rPr>
        <w:t>absence</w:t>
      </w:r>
      <w:proofErr w:type="gramEnd"/>
      <w:r w:rsidRPr="00CD1FEF">
        <w:rPr>
          <w:lang w:eastAsia="zh-CN"/>
        </w:rPr>
        <w:t xml:space="preserve"> </w:t>
      </w:r>
    </w:p>
    <w:p w14:paraId="606DBB92" w14:textId="77777777" w:rsidR="00F83D14" w:rsidRPr="00CD1FEF" w:rsidRDefault="00F83D14" w:rsidP="006165DA">
      <w:pPr>
        <w:pStyle w:val="BodyText"/>
        <w:numPr>
          <w:ilvl w:val="0"/>
          <w:numId w:val="24"/>
        </w:numPr>
        <w:ind w:left="993" w:hanging="273"/>
        <w:rPr>
          <w:lang w:eastAsia="zh-CN"/>
        </w:rPr>
      </w:pPr>
      <w:r w:rsidRPr="00CD1FEF">
        <w:rPr>
          <w:lang w:eastAsia="zh-CN"/>
        </w:rPr>
        <w:t xml:space="preserve">movement/ gesture </w:t>
      </w:r>
    </w:p>
    <w:p w14:paraId="6CC1BE55" w14:textId="77777777" w:rsidR="00F83D14" w:rsidRPr="00CD1FEF" w:rsidRDefault="00F83D14" w:rsidP="006165DA">
      <w:pPr>
        <w:pStyle w:val="BodyText"/>
        <w:numPr>
          <w:ilvl w:val="0"/>
          <w:numId w:val="24"/>
        </w:numPr>
        <w:ind w:left="993" w:hanging="273"/>
        <w:rPr>
          <w:lang w:eastAsia="zh-CN"/>
        </w:rPr>
      </w:pPr>
      <w:r w:rsidRPr="00CD1FEF">
        <w:rPr>
          <w:lang w:eastAsia="zh-CN"/>
        </w:rPr>
        <w:t xml:space="preserve">condition </w:t>
      </w:r>
    </w:p>
    <w:p w14:paraId="5FAFAB1A" w14:textId="77777777" w:rsidR="00F83D14" w:rsidRPr="00CD1FEF" w:rsidRDefault="00F83D14" w:rsidP="006165DA">
      <w:pPr>
        <w:pStyle w:val="BodyText"/>
        <w:numPr>
          <w:ilvl w:val="0"/>
          <w:numId w:val="22"/>
        </w:numPr>
        <w:ind w:left="709" w:hanging="349"/>
        <w:rPr>
          <w:lang w:eastAsia="zh-CN"/>
        </w:rPr>
      </w:pPr>
      <w:r w:rsidRPr="00CD1FEF">
        <w:rPr>
          <w:lang w:eastAsia="zh-CN"/>
        </w:rPr>
        <w:t xml:space="preserve">Characterization, e.g., of: </w:t>
      </w:r>
    </w:p>
    <w:p w14:paraId="7143F7C2" w14:textId="77777777" w:rsidR="00F83D14" w:rsidRPr="00CD1FEF" w:rsidRDefault="00F83D14" w:rsidP="006165DA">
      <w:pPr>
        <w:pStyle w:val="BodyText"/>
        <w:numPr>
          <w:ilvl w:val="0"/>
          <w:numId w:val="26"/>
        </w:numPr>
        <w:ind w:left="993" w:hanging="273"/>
        <w:rPr>
          <w:lang w:eastAsia="zh-CN"/>
        </w:rPr>
      </w:pPr>
      <w:r w:rsidRPr="00CD1FEF">
        <w:rPr>
          <w:lang w:eastAsia="zh-CN"/>
        </w:rPr>
        <w:t xml:space="preserve">object (size, classification, feature extraction) </w:t>
      </w:r>
    </w:p>
    <w:p w14:paraId="5784BC38" w14:textId="77777777" w:rsidR="00F83D14" w:rsidRPr="00CD1FEF" w:rsidRDefault="00F83D14" w:rsidP="006165DA">
      <w:pPr>
        <w:pStyle w:val="BodyText"/>
        <w:numPr>
          <w:ilvl w:val="0"/>
          <w:numId w:val="26"/>
        </w:numPr>
        <w:ind w:left="993" w:hanging="273"/>
        <w:rPr>
          <w:lang w:eastAsia="zh-CN"/>
        </w:rPr>
      </w:pPr>
      <w:r w:rsidRPr="00CD1FEF">
        <w:rPr>
          <w:lang w:eastAsia="zh-CN"/>
        </w:rPr>
        <w:t xml:space="preserve">movement/ gesture (direction, speed/velocity, classification) </w:t>
      </w:r>
    </w:p>
    <w:p w14:paraId="1A359C2B" w14:textId="77777777" w:rsidR="00F83D14" w:rsidRPr="00CD1FEF" w:rsidRDefault="00F83D14" w:rsidP="006165DA">
      <w:pPr>
        <w:pStyle w:val="BodyText"/>
        <w:numPr>
          <w:ilvl w:val="0"/>
          <w:numId w:val="26"/>
        </w:numPr>
        <w:ind w:left="993" w:hanging="273"/>
        <w:rPr>
          <w:lang w:eastAsia="zh-CN"/>
        </w:rPr>
      </w:pPr>
      <w:r w:rsidRPr="00CD1FEF">
        <w:rPr>
          <w:lang w:eastAsia="zh-CN"/>
        </w:rPr>
        <w:t xml:space="preserve">condition (classification) </w:t>
      </w:r>
    </w:p>
    <w:p w14:paraId="15B4DFB6" w14:textId="77777777" w:rsidR="00F83D14" w:rsidRPr="00CD1FEF" w:rsidRDefault="00F83D14" w:rsidP="006165DA">
      <w:pPr>
        <w:pStyle w:val="BodyText"/>
        <w:numPr>
          <w:ilvl w:val="0"/>
          <w:numId w:val="22"/>
        </w:numPr>
        <w:ind w:left="709" w:hanging="349"/>
        <w:rPr>
          <w:lang w:eastAsia="zh-CN"/>
        </w:rPr>
      </w:pPr>
      <w:r w:rsidRPr="00CD1FEF">
        <w:rPr>
          <w:lang w:eastAsia="zh-CN"/>
        </w:rPr>
        <w:t xml:space="preserve">Localization. </w:t>
      </w:r>
    </w:p>
    <w:p w14:paraId="56F70489" w14:textId="77777777" w:rsidR="00F83D14" w:rsidRDefault="00F83D14" w:rsidP="00F83D14">
      <w:pPr>
        <w:pStyle w:val="BodyText"/>
      </w:pPr>
      <w:r w:rsidRPr="00CD1FEF">
        <w:t xml:space="preserve">All sensing use cases involve some sensing tasks from the above list, including Intelligent transportation, Automated Guided Vehicles in industry, UAV, and smart home. The sensing tasks can be configured to each use case, considering deployment scenarios, </w:t>
      </w:r>
    </w:p>
    <w:p w14:paraId="5D75D72E" w14:textId="77777777" w:rsidR="00F83D14" w:rsidRPr="00CD1FEF" w:rsidRDefault="00F83D14" w:rsidP="00F83D14">
      <w:pPr>
        <w:pStyle w:val="BodyText"/>
      </w:pPr>
      <w:r w:rsidRPr="00CD1FEF">
        <w:t>sensing modes, required quality, etc. This would be reflected in the test environment for the evaluation.</w:t>
      </w:r>
    </w:p>
    <w:p w14:paraId="0CCCF0A2" w14:textId="77777777" w:rsidR="00F83D14" w:rsidRPr="00CD1FEF" w:rsidRDefault="00F83D14" w:rsidP="00F83D14">
      <w:pPr>
        <w:pStyle w:val="BodyText"/>
      </w:pPr>
      <w:r w:rsidRPr="00CD1FEF">
        <w:t>It is noted that there are also composite sensing tasks, e.g. Monitoring and Tracking, which involve multiple basic sensing tasks repeated in time and/or space.</w:t>
      </w:r>
    </w:p>
    <w:p w14:paraId="2D382010" w14:textId="77777777" w:rsidR="00F83D14" w:rsidRPr="00CD1FEF" w:rsidRDefault="00F83D14" w:rsidP="00F83D14">
      <w:pPr>
        <w:pStyle w:val="BodyText"/>
      </w:pPr>
      <w:r w:rsidRPr="00CD1FEF">
        <w:t>Sensing tasks are characterized by a set of requirements (KPIs). Different target values would be needed for outdoor and indoor deployment scenarios. It is also noted that the exact target values for KPIs and the associated sensing complexity and resource demand also depend on the size of sensing target objects, which would be reflected in the required resolution in space.</w:t>
      </w:r>
    </w:p>
    <w:p w14:paraId="5D32DBE7" w14:textId="77777777" w:rsidR="00F83D14" w:rsidRPr="00CD1FEF" w:rsidRDefault="00F83D14" w:rsidP="00F83D14">
      <w:pPr>
        <w:pStyle w:val="BodyText"/>
      </w:pPr>
      <w:r w:rsidRPr="00CD1FEF">
        <w:t>Table 1 below shows a set of requirements for the basic sensing tasks. A subset of these could be selected as representative TPR for the Sensing usage scenario, targeting an evaluation with 1-2 test environments.</w:t>
      </w:r>
    </w:p>
    <w:p w14:paraId="032B21CF" w14:textId="77777777" w:rsidR="00F83D14" w:rsidRPr="00CD1FEF" w:rsidRDefault="00F83D14" w:rsidP="00F83D14">
      <w:pPr>
        <w:pStyle w:val="Tablehead"/>
      </w:pPr>
      <w:r>
        <w:t xml:space="preserve">TABLE 1: </w:t>
      </w:r>
      <w:r w:rsidRPr="00CD1FEF">
        <w:t>Sensing tasks and related requirements</w:t>
      </w:r>
    </w:p>
    <w:tbl>
      <w:tblPr>
        <w:tblStyle w:val="TableGrid"/>
        <w:tblW w:w="0" w:type="auto"/>
        <w:jc w:val="center"/>
        <w:tblCellMar>
          <w:top w:w="28" w:type="dxa"/>
          <w:bottom w:w="28" w:type="dxa"/>
        </w:tblCellMar>
        <w:tblLook w:val="04A0" w:firstRow="1" w:lastRow="0" w:firstColumn="1" w:lastColumn="0" w:noHBand="0" w:noVBand="1"/>
      </w:tblPr>
      <w:tblGrid>
        <w:gridCol w:w="1838"/>
        <w:gridCol w:w="1157"/>
        <w:gridCol w:w="1395"/>
        <w:gridCol w:w="1842"/>
        <w:gridCol w:w="1560"/>
      </w:tblGrid>
      <w:tr w:rsidR="00F83D14" w:rsidRPr="00CD1FEF" w14:paraId="53CF1D97" w14:textId="77777777" w:rsidTr="00F14CFC">
        <w:trPr>
          <w:jc w:val="center"/>
        </w:trPr>
        <w:tc>
          <w:tcPr>
            <w:tcW w:w="2995" w:type="dxa"/>
            <w:gridSpan w:val="2"/>
            <w:vMerge w:val="restart"/>
            <w:vAlign w:val="center"/>
          </w:tcPr>
          <w:p w14:paraId="28BCC377" w14:textId="77777777" w:rsidR="00F83D14" w:rsidRPr="00CD1FEF" w:rsidRDefault="00F83D14" w:rsidP="00F14CFC">
            <w:pPr>
              <w:pStyle w:val="Tablehead"/>
              <w:rPr>
                <w:lang w:eastAsia="zh-CN"/>
              </w:rPr>
            </w:pPr>
            <w:r w:rsidRPr="00CD1FEF">
              <w:rPr>
                <w:lang w:eastAsia="zh-CN"/>
              </w:rPr>
              <w:t>Requirement</w:t>
            </w:r>
          </w:p>
        </w:tc>
        <w:tc>
          <w:tcPr>
            <w:tcW w:w="4797" w:type="dxa"/>
            <w:gridSpan w:val="3"/>
            <w:vAlign w:val="center"/>
          </w:tcPr>
          <w:p w14:paraId="6CA367B9" w14:textId="77777777" w:rsidR="00F83D14" w:rsidRPr="00CD1FEF" w:rsidRDefault="00F83D14" w:rsidP="00F14CFC">
            <w:pPr>
              <w:pStyle w:val="Tablehead"/>
              <w:rPr>
                <w:lang w:eastAsia="zh-CN"/>
              </w:rPr>
            </w:pPr>
            <w:r w:rsidRPr="00CD1FEF">
              <w:rPr>
                <w:lang w:eastAsia="zh-CN"/>
              </w:rPr>
              <w:t>Basic sensing tasks</w:t>
            </w:r>
          </w:p>
        </w:tc>
      </w:tr>
      <w:tr w:rsidR="00F83D14" w:rsidRPr="00CD1FEF" w14:paraId="3EE1FDBA" w14:textId="77777777" w:rsidTr="00F14CFC">
        <w:trPr>
          <w:jc w:val="center"/>
        </w:trPr>
        <w:tc>
          <w:tcPr>
            <w:tcW w:w="2995" w:type="dxa"/>
            <w:gridSpan w:val="2"/>
            <w:vMerge/>
            <w:vAlign w:val="center"/>
          </w:tcPr>
          <w:p w14:paraId="4BAF0D96" w14:textId="77777777" w:rsidR="00F83D14" w:rsidRPr="00CD1FEF" w:rsidRDefault="00F83D14" w:rsidP="00F14CFC">
            <w:pPr>
              <w:pStyle w:val="Tablehead"/>
              <w:rPr>
                <w:lang w:eastAsia="zh-CN"/>
              </w:rPr>
            </w:pPr>
          </w:p>
        </w:tc>
        <w:tc>
          <w:tcPr>
            <w:tcW w:w="1395" w:type="dxa"/>
          </w:tcPr>
          <w:p w14:paraId="15A90445" w14:textId="77777777" w:rsidR="00F83D14" w:rsidRPr="00CD1FEF" w:rsidRDefault="00F83D14" w:rsidP="00F14CFC">
            <w:pPr>
              <w:pStyle w:val="Tablehead"/>
              <w:rPr>
                <w:lang w:eastAsia="zh-CN"/>
              </w:rPr>
            </w:pPr>
            <w:r w:rsidRPr="00CD1FEF">
              <w:t>Detection</w:t>
            </w:r>
          </w:p>
        </w:tc>
        <w:tc>
          <w:tcPr>
            <w:tcW w:w="1842" w:type="dxa"/>
          </w:tcPr>
          <w:p w14:paraId="10157734" w14:textId="77777777" w:rsidR="00F83D14" w:rsidRPr="00CD1FEF" w:rsidRDefault="00F83D14" w:rsidP="00F14CFC">
            <w:pPr>
              <w:pStyle w:val="Tablehead"/>
              <w:rPr>
                <w:lang w:eastAsia="zh-CN"/>
              </w:rPr>
            </w:pPr>
            <w:r w:rsidRPr="00CD1FEF">
              <w:t>Characterization</w:t>
            </w:r>
          </w:p>
        </w:tc>
        <w:tc>
          <w:tcPr>
            <w:tcW w:w="1560" w:type="dxa"/>
          </w:tcPr>
          <w:p w14:paraId="228AB8D8" w14:textId="77777777" w:rsidR="00F83D14" w:rsidRPr="00CD1FEF" w:rsidRDefault="00F83D14" w:rsidP="00F14CFC">
            <w:pPr>
              <w:pStyle w:val="Tablehead"/>
              <w:rPr>
                <w:lang w:eastAsia="zh-CN"/>
              </w:rPr>
            </w:pPr>
            <w:r w:rsidRPr="00CD1FEF">
              <w:t>Localization</w:t>
            </w:r>
          </w:p>
        </w:tc>
      </w:tr>
      <w:tr w:rsidR="00F83D14" w:rsidRPr="00CD1FEF" w14:paraId="1FAA63C0" w14:textId="77777777" w:rsidTr="00F14CFC">
        <w:trPr>
          <w:jc w:val="center"/>
        </w:trPr>
        <w:tc>
          <w:tcPr>
            <w:tcW w:w="1838" w:type="dxa"/>
            <w:vMerge w:val="restart"/>
            <w:vAlign w:val="center"/>
          </w:tcPr>
          <w:p w14:paraId="7ECF9871" w14:textId="77777777" w:rsidR="00F83D14" w:rsidRPr="00CD1FEF" w:rsidRDefault="00F83D14" w:rsidP="00F14CFC">
            <w:pPr>
              <w:pStyle w:val="Tabletext"/>
              <w:rPr>
                <w:lang w:eastAsia="zh-CN"/>
              </w:rPr>
            </w:pPr>
            <w:r w:rsidRPr="00CD1FEF">
              <w:rPr>
                <w:lang w:eastAsia="zh-CN"/>
              </w:rPr>
              <w:t>Detectability</w:t>
            </w:r>
          </w:p>
        </w:tc>
        <w:tc>
          <w:tcPr>
            <w:tcW w:w="1157" w:type="dxa"/>
            <w:vAlign w:val="center"/>
          </w:tcPr>
          <w:p w14:paraId="7D181903" w14:textId="77777777" w:rsidR="00F83D14" w:rsidRPr="00CD1FEF" w:rsidRDefault="00F83D14" w:rsidP="00F14CFC">
            <w:pPr>
              <w:pStyle w:val="Tabletext"/>
              <w:rPr>
                <w:lang w:eastAsia="zh-CN"/>
              </w:rPr>
            </w:pPr>
            <w:proofErr w:type="spellStart"/>
            <w:r w:rsidRPr="00CD1FEF">
              <w:rPr>
                <w:lang w:eastAsia="zh-CN"/>
              </w:rPr>
              <w:t>P</w:t>
            </w:r>
            <w:r w:rsidRPr="00CD1FEF">
              <w:rPr>
                <w:vertAlign w:val="subscript"/>
                <w:lang w:eastAsia="zh-CN"/>
              </w:rPr>
              <w:t>False</w:t>
            </w:r>
            <w:proofErr w:type="spellEnd"/>
            <w:r w:rsidRPr="00CD1FEF">
              <w:rPr>
                <w:vertAlign w:val="subscript"/>
                <w:lang w:eastAsia="zh-CN"/>
              </w:rPr>
              <w:t xml:space="preserve"> Alarm</w:t>
            </w:r>
          </w:p>
        </w:tc>
        <w:tc>
          <w:tcPr>
            <w:tcW w:w="1395" w:type="dxa"/>
          </w:tcPr>
          <w:p w14:paraId="208492EF" w14:textId="77777777" w:rsidR="00F83D14" w:rsidRPr="00CD1FEF" w:rsidRDefault="00F83D14" w:rsidP="00F14CFC">
            <w:pPr>
              <w:pStyle w:val="Tabletext"/>
              <w:jc w:val="center"/>
              <w:rPr>
                <w:lang w:eastAsia="zh-CN"/>
              </w:rPr>
            </w:pPr>
            <w:r w:rsidRPr="00CD1FEF">
              <w:t>TBD</w:t>
            </w:r>
          </w:p>
        </w:tc>
        <w:tc>
          <w:tcPr>
            <w:tcW w:w="1842" w:type="dxa"/>
          </w:tcPr>
          <w:p w14:paraId="1905A4A2" w14:textId="77777777" w:rsidR="00F83D14" w:rsidRPr="00CD1FEF" w:rsidRDefault="00F83D14" w:rsidP="00F14CFC">
            <w:pPr>
              <w:pStyle w:val="Tabletext"/>
              <w:jc w:val="center"/>
              <w:rPr>
                <w:lang w:eastAsia="zh-CN"/>
              </w:rPr>
            </w:pPr>
            <w:r w:rsidRPr="00CD1FEF">
              <w:t>TBD</w:t>
            </w:r>
          </w:p>
        </w:tc>
        <w:tc>
          <w:tcPr>
            <w:tcW w:w="1560" w:type="dxa"/>
          </w:tcPr>
          <w:p w14:paraId="08898B1C" w14:textId="77777777" w:rsidR="00F83D14" w:rsidRPr="00CD1FEF" w:rsidRDefault="00F83D14" w:rsidP="00F14CFC">
            <w:pPr>
              <w:pStyle w:val="Tabletext"/>
              <w:jc w:val="center"/>
              <w:rPr>
                <w:lang w:eastAsia="zh-CN"/>
              </w:rPr>
            </w:pPr>
            <w:r w:rsidRPr="00CD1FEF">
              <w:t>TBD</w:t>
            </w:r>
          </w:p>
        </w:tc>
      </w:tr>
      <w:tr w:rsidR="00F83D14" w:rsidRPr="00CD1FEF" w14:paraId="0282BA9B" w14:textId="77777777" w:rsidTr="00F14CFC">
        <w:trPr>
          <w:jc w:val="center"/>
        </w:trPr>
        <w:tc>
          <w:tcPr>
            <w:tcW w:w="1838" w:type="dxa"/>
            <w:vMerge/>
            <w:vAlign w:val="center"/>
          </w:tcPr>
          <w:p w14:paraId="66C18787" w14:textId="77777777" w:rsidR="00F83D14" w:rsidRPr="00CD1FEF" w:rsidRDefault="00F83D14" w:rsidP="00F14CFC">
            <w:pPr>
              <w:pStyle w:val="Tabletext"/>
              <w:rPr>
                <w:lang w:eastAsia="zh-CN"/>
              </w:rPr>
            </w:pPr>
          </w:p>
        </w:tc>
        <w:tc>
          <w:tcPr>
            <w:tcW w:w="1157" w:type="dxa"/>
            <w:vAlign w:val="center"/>
          </w:tcPr>
          <w:p w14:paraId="29792A86" w14:textId="77777777" w:rsidR="00F83D14" w:rsidRPr="00CD1FEF" w:rsidRDefault="00F83D14" w:rsidP="00F14CFC">
            <w:pPr>
              <w:pStyle w:val="Tabletext"/>
              <w:rPr>
                <w:lang w:eastAsia="zh-CN"/>
              </w:rPr>
            </w:pPr>
            <w:proofErr w:type="spellStart"/>
            <w:r w:rsidRPr="00CD1FEF">
              <w:rPr>
                <w:lang w:eastAsia="zh-CN"/>
              </w:rPr>
              <w:t>P</w:t>
            </w:r>
            <w:r w:rsidRPr="00CD1FEF">
              <w:rPr>
                <w:vertAlign w:val="subscript"/>
                <w:lang w:eastAsia="zh-CN"/>
              </w:rPr>
              <w:t>Detection</w:t>
            </w:r>
            <w:proofErr w:type="spellEnd"/>
          </w:p>
        </w:tc>
        <w:tc>
          <w:tcPr>
            <w:tcW w:w="1395" w:type="dxa"/>
          </w:tcPr>
          <w:p w14:paraId="28612069" w14:textId="77777777" w:rsidR="00F83D14" w:rsidRPr="00CD1FEF" w:rsidRDefault="00F83D14" w:rsidP="00F14CFC">
            <w:pPr>
              <w:pStyle w:val="Tabletext"/>
              <w:jc w:val="center"/>
              <w:rPr>
                <w:lang w:eastAsia="zh-CN"/>
              </w:rPr>
            </w:pPr>
            <w:r w:rsidRPr="00CD1FEF">
              <w:t>TBD</w:t>
            </w:r>
          </w:p>
        </w:tc>
        <w:tc>
          <w:tcPr>
            <w:tcW w:w="1842" w:type="dxa"/>
          </w:tcPr>
          <w:p w14:paraId="31252BCB" w14:textId="77777777" w:rsidR="00F83D14" w:rsidRPr="00CD1FEF" w:rsidRDefault="00F83D14" w:rsidP="00F14CFC">
            <w:pPr>
              <w:pStyle w:val="Tabletext"/>
              <w:jc w:val="center"/>
              <w:rPr>
                <w:lang w:eastAsia="zh-CN"/>
              </w:rPr>
            </w:pPr>
            <w:r w:rsidRPr="00CD1FEF">
              <w:t>TBD</w:t>
            </w:r>
          </w:p>
        </w:tc>
        <w:tc>
          <w:tcPr>
            <w:tcW w:w="1560" w:type="dxa"/>
          </w:tcPr>
          <w:p w14:paraId="7A0DE7CE" w14:textId="77777777" w:rsidR="00F83D14" w:rsidRPr="00CD1FEF" w:rsidRDefault="00F83D14" w:rsidP="00F14CFC">
            <w:pPr>
              <w:pStyle w:val="Tabletext"/>
              <w:jc w:val="center"/>
              <w:rPr>
                <w:lang w:eastAsia="zh-CN"/>
              </w:rPr>
            </w:pPr>
            <w:r w:rsidRPr="00CD1FEF">
              <w:t>TBD</w:t>
            </w:r>
          </w:p>
        </w:tc>
      </w:tr>
      <w:tr w:rsidR="00F83D14" w:rsidRPr="00CD1FEF" w14:paraId="537704C3" w14:textId="77777777" w:rsidTr="00F14CFC">
        <w:trPr>
          <w:jc w:val="center"/>
        </w:trPr>
        <w:tc>
          <w:tcPr>
            <w:tcW w:w="1838" w:type="dxa"/>
            <w:vMerge w:val="restart"/>
            <w:vAlign w:val="center"/>
          </w:tcPr>
          <w:p w14:paraId="6C3D8E05" w14:textId="77777777" w:rsidR="00F83D14" w:rsidRPr="00CD1FEF" w:rsidRDefault="00F83D14" w:rsidP="00F14CFC">
            <w:pPr>
              <w:pStyle w:val="Tabletext"/>
              <w:rPr>
                <w:lang w:eastAsia="zh-CN"/>
              </w:rPr>
            </w:pPr>
            <w:r w:rsidRPr="00CD1FEF">
              <w:rPr>
                <w:lang w:eastAsia="zh-CN"/>
              </w:rPr>
              <w:t>Location accuracy</w:t>
            </w:r>
          </w:p>
        </w:tc>
        <w:tc>
          <w:tcPr>
            <w:tcW w:w="1157" w:type="dxa"/>
            <w:vAlign w:val="center"/>
          </w:tcPr>
          <w:p w14:paraId="107E3B20" w14:textId="77777777" w:rsidR="00F83D14" w:rsidRPr="00CD1FEF" w:rsidRDefault="00F83D14" w:rsidP="00F14CFC">
            <w:pPr>
              <w:pStyle w:val="Tabletext"/>
              <w:rPr>
                <w:lang w:eastAsia="zh-CN"/>
              </w:rPr>
            </w:pPr>
            <w:r w:rsidRPr="00CD1FEF">
              <w:rPr>
                <w:lang w:eastAsia="zh-CN"/>
              </w:rPr>
              <w:t>Horizontal</w:t>
            </w:r>
          </w:p>
        </w:tc>
        <w:tc>
          <w:tcPr>
            <w:tcW w:w="1395" w:type="dxa"/>
          </w:tcPr>
          <w:p w14:paraId="55AEF4FE" w14:textId="77777777" w:rsidR="00F83D14" w:rsidRPr="00CD1FEF" w:rsidRDefault="00F83D14" w:rsidP="00F14CFC">
            <w:pPr>
              <w:pStyle w:val="Tabletext"/>
              <w:jc w:val="center"/>
              <w:rPr>
                <w:lang w:eastAsia="zh-CN"/>
              </w:rPr>
            </w:pPr>
            <w:r w:rsidRPr="00CD1FEF">
              <w:t>-</w:t>
            </w:r>
          </w:p>
        </w:tc>
        <w:tc>
          <w:tcPr>
            <w:tcW w:w="1842" w:type="dxa"/>
          </w:tcPr>
          <w:p w14:paraId="33F9A138" w14:textId="77777777" w:rsidR="00F83D14" w:rsidRPr="00CD1FEF" w:rsidRDefault="00F83D14" w:rsidP="00F14CFC">
            <w:pPr>
              <w:pStyle w:val="Tabletext"/>
              <w:jc w:val="center"/>
              <w:rPr>
                <w:lang w:eastAsia="zh-CN"/>
              </w:rPr>
            </w:pPr>
            <w:r w:rsidRPr="00CD1FEF">
              <w:t>-</w:t>
            </w:r>
          </w:p>
        </w:tc>
        <w:tc>
          <w:tcPr>
            <w:tcW w:w="1560" w:type="dxa"/>
          </w:tcPr>
          <w:p w14:paraId="0AAABF3C" w14:textId="77777777" w:rsidR="00F83D14" w:rsidRPr="00CD1FEF" w:rsidRDefault="00F83D14" w:rsidP="00F14CFC">
            <w:pPr>
              <w:pStyle w:val="Tabletext"/>
              <w:jc w:val="center"/>
              <w:rPr>
                <w:lang w:eastAsia="zh-CN"/>
              </w:rPr>
            </w:pPr>
            <w:r w:rsidRPr="00CD1FEF">
              <w:t>[1−2 m]</w:t>
            </w:r>
          </w:p>
        </w:tc>
      </w:tr>
      <w:tr w:rsidR="00F83D14" w:rsidRPr="00CD1FEF" w14:paraId="5D83831B" w14:textId="77777777" w:rsidTr="00F14CFC">
        <w:trPr>
          <w:jc w:val="center"/>
        </w:trPr>
        <w:tc>
          <w:tcPr>
            <w:tcW w:w="1838" w:type="dxa"/>
            <w:vMerge/>
            <w:vAlign w:val="center"/>
          </w:tcPr>
          <w:p w14:paraId="17FE8DE0" w14:textId="77777777" w:rsidR="00F83D14" w:rsidRPr="00CD1FEF" w:rsidRDefault="00F83D14" w:rsidP="00F14CFC">
            <w:pPr>
              <w:pStyle w:val="Tabletext"/>
              <w:rPr>
                <w:lang w:eastAsia="zh-CN"/>
              </w:rPr>
            </w:pPr>
          </w:p>
        </w:tc>
        <w:tc>
          <w:tcPr>
            <w:tcW w:w="1157" w:type="dxa"/>
            <w:vAlign w:val="center"/>
          </w:tcPr>
          <w:p w14:paraId="1B958678" w14:textId="77777777" w:rsidR="00F83D14" w:rsidRPr="00CD1FEF" w:rsidRDefault="00F83D14" w:rsidP="00F14CFC">
            <w:pPr>
              <w:pStyle w:val="Tabletext"/>
              <w:rPr>
                <w:lang w:eastAsia="zh-CN"/>
              </w:rPr>
            </w:pPr>
            <w:r w:rsidRPr="00CD1FEF">
              <w:rPr>
                <w:lang w:eastAsia="zh-CN"/>
              </w:rPr>
              <w:t>Vertical</w:t>
            </w:r>
          </w:p>
        </w:tc>
        <w:tc>
          <w:tcPr>
            <w:tcW w:w="1395" w:type="dxa"/>
          </w:tcPr>
          <w:p w14:paraId="525476FE" w14:textId="77777777" w:rsidR="00F83D14" w:rsidRPr="00CD1FEF" w:rsidRDefault="00F83D14" w:rsidP="00F14CFC">
            <w:pPr>
              <w:pStyle w:val="Tabletext"/>
              <w:jc w:val="center"/>
              <w:rPr>
                <w:lang w:eastAsia="zh-CN"/>
              </w:rPr>
            </w:pPr>
            <w:r w:rsidRPr="00CD1FEF">
              <w:t>-</w:t>
            </w:r>
          </w:p>
        </w:tc>
        <w:tc>
          <w:tcPr>
            <w:tcW w:w="1842" w:type="dxa"/>
          </w:tcPr>
          <w:p w14:paraId="0D65E078" w14:textId="77777777" w:rsidR="00F83D14" w:rsidRPr="00CD1FEF" w:rsidRDefault="00F83D14" w:rsidP="00F14CFC">
            <w:pPr>
              <w:pStyle w:val="Tabletext"/>
              <w:jc w:val="center"/>
              <w:rPr>
                <w:lang w:eastAsia="zh-CN"/>
              </w:rPr>
            </w:pPr>
            <w:r w:rsidRPr="00CD1FEF">
              <w:t>-</w:t>
            </w:r>
          </w:p>
        </w:tc>
        <w:tc>
          <w:tcPr>
            <w:tcW w:w="1560" w:type="dxa"/>
          </w:tcPr>
          <w:p w14:paraId="1861082E" w14:textId="77777777" w:rsidR="00F83D14" w:rsidRPr="00CD1FEF" w:rsidRDefault="00F83D14" w:rsidP="00F14CFC">
            <w:pPr>
              <w:pStyle w:val="Tabletext"/>
              <w:jc w:val="center"/>
              <w:rPr>
                <w:lang w:eastAsia="zh-CN"/>
              </w:rPr>
            </w:pPr>
            <w:r w:rsidRPr="00CD1FEF">
              <w:t>TBD</w:t>
            </w:r>
          </w:p>
        </w:tc>
      </w:tr>
      <w:tr w:rsidR="00F83D14" w:rsidRPr="00CD1FEF" w14:paraId="5A7112CB" w14:textId="77777777" w:rsidTr="00F14CFC">
        <w:trPr>
          <w:jc w:val="center"/>
        </w:trPr>
        <w:tc>
          <w:tcPr>
            <w:tcW w:w="2995" w:type="dxa"/>
            <w:gridSpan w:val="2"/>
            <w:vAlign w:val="center"/>
          </w:tcPr>
          <w:p w14:paraId="19499E11" w14:textId="77777777" w:rsidR="00F83D14" w:rsidRPr="00CD1FEF" w:rsidRDefault="00F83D14" w:rsidP="00F14CFC">
            <w:pPr>
              <w:pStyle w:val="Tabletext"/>
              <w:rPr>
                <w:lang w:eastAsia="zh-CN"/>
              </w:rPr>
            </w:pPr>
            <w:r w:rsidRPr="00CD1FEF">
              <w:rPr>
                <w:lang w:eastAsia="zh-CN"/>
              </w:rPr>
              <w:t>Velocity accuracy</w:t>
            </w:r>
          </w:p>
        </w:tc>
        <w:tc>
          <w:tcPr>
            <w:tcW w:w="1395" w:type="dxa"/>
            <w:vAlign w:val="center"/>
          </w:tcPr>
          <w:p w14:paraId="3841C44C" w14:textId="77777777" w:rsidR="00F83D14" w:rsidRPr="00CD1FEF" w:rsidRDefault="00F83D14" w:rsidP="00F14CFC">
            <w:pPr>
              <w:pStyle w:val="Tabletext"/>
              <w:jc w:val="center"/>
              <w:rPr>
                <w:lang w:eastAsia="zh-CN"/>
              </w:rPr>
            </w:pPr>
            <w:r w:rsidRPr="00CD1FEF">
              <w:rPr>
                <w:lang w:eastAsia="zh-CN"/>
              </w:rPr>
              <w:t>-</w:t>
            </w:r>
          </w:p>
        </w:tc>
        <w:tc>
          <w:tcPr>
            <w:tcW w:w="1842" w:type="dxa"/>
          </w:tcPr>
          <w:p w14:paraId="4E147472" w14:textId="77777777" w:rsidR="00F83D14" w:rsidRPr="00CD1FEF" w:rsidRDefault="00F83D14" w:rsidP="00F14CFC">
            <w:pPr>
              <w:pStyle w:val="Tabletext"/>
              <w:jc w:val="center"/>
              <w:rPr>
                <w:lang w:eastAsia="zh-CN"/>
              </w:rPr>
            </w:pPr>
            <w:r w:rsidRPr="00CD1FEF">
              <w:t>TBD</w:t>
            </w:r>
          </w:p>
        </w:tc>
        <w:tc>
          <w:tcPr>
            <w:tcW w:w="1560" w:type="dxa"/>
          </w:tcPr>
          <w:p w14:paraId="01C41548" w14:textId="77777777" w:rsidR="00F83D14" w:rsidRPr="00CD1FEF" w:rsidRDefault="00F83D14" w:rsidP="00F14CFC">
            <w:pPr>
              <w:pStyle w:val="Tabletext"/>
              <w:jc w:val="center"/>
              <w:rPr>
                <w:lang w:eastAsia="zh-CN"/>
              </w:rPr>
            </w:pPr>
            <w:r w:rsidRPr="00CD1FEF">
              <w:t>-</w:t>
            </w:r>
          </w:p>
        </w:tc>
      </w:tr>
      <w:tr w:rsidR="00F83D14" w:rsidRPr="00CD1FEF" w14:paraId="4C305D06" w14:textId="77777777" w:rsidTr="00F14CFC">
        <w:trPr>
          <w:jc w:val="center"/>
        </w:trPr>
        <w:tc>
          <w:tcPr>
            <w:tcW w:w="2995" w:type="dxa"/>
            <w:gridSpan w:val="2"/>
            <w:vAlign w:val="center"/>
          </w:tcPr>
          <w:p w14:paraId="3EEAD2F6" w14:textId="77777777" w:rsidR="00F83D14" w:rsidRPr="00CD1FEF" w:rsidRDefault="00F83D14" w:rsidP="00F14CFC">
            <w:pPr>
              <w:pStyle w:val="Tabletext"/>
              <w:rPr>
                <w:lang w:eastAsia="zh-CN"/>
              </w:rPr>
            </w:pPr>
            <w:r w:rsidRPr="00CD1FEF">
              <w:rPr>
                <w:lang w:eastAsia="zh-CN"/>
              </w:rPr>
              <w:t>Latency</w:t>
            </w:r>
          </w:p>
        </w:tc>
        <w:tc>
          <w:tcPr>
            <w:tcW w:w="4797" w:type="dxa"/>
            <w:gridSpan w:val="3"/>
            <w:vAlign w:val="center"/>
          </w:tcPr>
          <w:p w14:paraId="51ABF059" w14:textId="77777777" w:rsidR="00F83D14" w:rsidRPr="00CD1FEF" w:rsidRDefault="00F83D14" w:rsidP="00F14CFC">
            <w:pPr>
              <w:pStyle w:val="Tabletext"/>
              <w:jc w:val="center"/>
              <w:rPr>
                <w:lang w:eastAsia="zh-CN"/>
              </w:rPr>
            </w:pPr>
            <w:r w:rsidRPr="00CD1FEF">
              <w:rPr>
                <w:lang w:eastAsia="zh-CN"/>
              </w:rPr>
              <w:t>TBD</w:t>
            </w:r>
          </w:p>
        </w:tc>
      </w:tr>
      <w:tr w:rsidR="00F83D14" w:rsidRPr="00CD1FEF" w14:paraId="68005404" w14:textId="77777777" w:rsidTr="00F14CFC">
        <w:trPr>
          <w:jc w:val="center"/>
        </w:trPr>
        <w:tc>
          <w:tcPr>
            <w:tcW w:w="2995" w:type="dxa"/>
            <w:gridSpan w:val="2"/>
            <w:vAlign w:val="center"/>
          </w:tcPr>
          <w:p w14:paraId="766D8F16" w14:textId="77777777" w:rsidR="00F83D14" w:rsidRPr="00CD1FEF" w:rsidRDefault="00F83D14" w:rsidP="00F14CFC">
            <w:pPr>
              <w:pStyle w:val="Tabletext"/>
              <w:rPr>
                <w:lang w:eastAsia="zh-CN"/>
              </w:rPr>
            </w:pPr>
            <w:r w:rsidRPr="00CD1FEF">
              <w:rPr>
                <w:lang w:eastAsia="zh-CN"/>
              </w:rPr>
              <w:t>Resolution in space</w:t>
            </w:r>
          </w:p>
        </w:tc>
        <w:tc>
          <w:tcPr>
            <w:tcW w:w="4797" w:type="dxa"/>
            <w:gridSpan w:val="3"/>
            <w:vAlign w:val="center"/>
          </w:tcPr>
          <w:p w14:paraId="64172C03" w14:textId="77777777" w:rsidR="00F83D14" w:rsidRPr="00CD1FEF" w:rsidRDefault="00F83D14" w:rsidP="00F14CFC">
            <w:pPr>
              <w:pStyle w:val="Tabletext"/>
              <w:jc w:val="center"/>
              <w:rPr>
                <w:lang w:eastAsia="zh-CN"/>
              </w:rPr>
            </w:pPr>
            <w:r w:rsidRPr="00CD1FEF">
              <w:rPr>
                <w:lang w:eastAsia="zh-CN"/>
              </w:rPr>
              <w:t>TBD</w:t>
            </w:r>
          </w:p>
        </w:tc>
      </w:tr>
      <w:tr w:rsidR="00F83D14" w:rsidRPr="00CD1FEF" w14:paraId="4370F655" w14:textId="77777777" w:rsidTr="00F14CFC">
        <w:trPr>
          <w:trHeight w:val="60"/>
          <w:jc w:val="center"/>
        </w:trPr>
        <w:tc>
          <w:tcPr>
            <w:tcW w:w="2995" w:type="dxa"/>
            <w:gridSpan w:val="2"/>
            <w:vAlign w:val="center"/>
          </w:tcPr>
          <w:p w14:paraId="6FA410FD" w14:textId="77777777" w:rsidR="00F83D14" w:rsidRPr="00CD1FEF" w:rsidRDefault="00F83D14" w:rsidP="00F14CFC">
            <w:pPr>
              <w:pStyle w:val="Tabletext"/>
              <w:rPr>
                <w:lang w:eastAsia="zh-CN"/>
              </w:rPr>
            </w:pPr>
            <w:r w:rsidRPr="00CD1FEF">
              <w:rPr>
                <w:lang w:eastAsia="zh-CN"/>
              </w:rPr>
              <w:t>Confidence level</w:t>
            </w:r>
          </w:p>
        </w:tc>
        <w:tc>
          <w:tcPr>
            <w:tcW w:w="4797" w:type="dxa"/>
            <w:gridSpan w:val="3"/>
            <w:vAlign w:val="center"/>
          </w:tcPr>
          <w:p w14:paraId="042CBD90" w14:textId="77777777" w:rsidR="00F83D14" w:rsidRPr="00CD1FEF" w:rsidRDefault="00F83D14" w:rsidP="00F14CFC">
            <w:pPr>
              <w:pStyle w:val="Tabletext"/>
              <w:jc w:val="center"/>
              <w:rPr>
                <w:lang w:eastAsia="zh-CN"/>
              </w:rPr>
            </w:pPr>
            <w:r w:rsidRPr="00CD1FEF">
              <w:rPr>
                <w:lang w:eastAsia="zh-CN"/>
              </w:rPr>
              <w:t>95%</w:t>
            </w:r>
          </w:p>
        </w:tc>
      </w:tr>
    </w:tbl>
    <w:p w14:paraId="5FA6FD7C" w14:textId="77777777" w:rsidR="00F83D14" w:rsidRDefault="00F83D14" w:rsidP="00F83D14"/>
    <w:p w14:paraId="24575963" w14:textId="77777777" w:rsidR="00F83D14" w:rsidRPr="00CD1FEF" w:rsidRDefault="00F83D14" w:rsidP="00F83D14">
      <w:pPr>
        <w:pStyle w:val="BodyText"/>
      </w:pPr>
      <w:r w:rsidRPr="00CD1FEF">
        <w:t xml:space="preserve">Deployment flexibility and good sensing coverage are important factors for the success of sensing service in IMT-2030. For deployment flexibility, different sensing modes need to be supported in IMT-2030, including bi-/multi-static and at least one of monostatic or quasi-monostatic, wherein the latter can mimic the monostatic sensing mode by using co-located transmitter and receiver while avoiding full duplex operation. </w:t>
      </w:r>
    </w:p>
    <w:p w14:paraId="460CEE8D" w14:textId="77777777" w:rsidR="00F83D14" w:rsidRPr="00CD1FEF" w:rsidRDefault="00F83D14" w:rsidP="00F83D14">
      <w:pPr>
        <w:pStyle w:val="BodyText"/>
      </w:pPr>
      <w:r w:rsidRPr="00CD1FEF">
        <w:t xml:space="preserve">To enable good sensing coverage across an IMT-2030 network, it is noted that a sensing receiver may receive weaker radio signals for sensing with much lower SINR compared to cell-edge UEs in cellular communication. An example is when a passive object is at the cell edge and the sensing signal transmitter and receiver are both base stations. </w:t>
      </w:r>
    </w:p>
    <w:p w14:paraId="79286AEA" w14:textId="3DE27580" w:rsidR="00F83D14" w:rsidRPr="00CD1FEF" w:rsidRDefault="00F83D14" w:rsidP="00680A9A">
      <w:pPr>
        <w:pStyle w:val="Heading2"/>
        <w:numPr>
          <w:ilvl w:val="0"/>
          <w:numId w:val="32"/>
        </w:numPr>
        <w:rPr>
          <w:lang w:eastAsia="zh-CN"/>
        </w:rPr>
      </w:pPr>
      <w:r w:rsidRPr="00CD1FEF">
        <w:rPr>
          <w:lang w:eastAsia="zh-CN"/>
        </w:rPr>
        <w:t>Sustainability</w:t>
      </w:r>
      <w:r>
        <w:rPr>
          <w:lang w:eastAsia="zh-CN"/>
        </w:rPr>
        <w:t xml:space="preserve"> and Energy Efficiency</w:t>
      </w:r>
      <w:r w:rsidR="004D134B">
        <w:rPr>
          <w:lang w:eastAsia="zh-CN"/>
        </w:rPr>
        <w:t xml:space="preserve"> (from [2])</w:t>
      </w:r>
    </w:p>
    <w:p w14:paraId="1E9A8F17" w14:textId="77777777" w:rsidR="00F83D14" w:rsidRPr="008D5CBA" w:rsidRDefault="00F83D14" w:rsidP="00F83D14">
      <w:pPr>
        <w:pStyle w:val="BodyText"/>
      </w:pPr>
      <w:r w:rsidRPr="008D5CBA">
        <w:t xml:space="preserve">In the Working Document, the TPR for Sustainability is presently expressed using the text on Energy efficiency from the IMT-2020 requirements (Report ITU-R </w:t>
      </w:r>
      <w:hyperlink r:id="rId19" w:history="1">
        <w:r w:rsidRPr="008D5CBA">
          <w:rPr>
            <w:rStyle w:val="Hyperlink"/>
            <w:color w:val="auto"/>
            <w:u w:val="none"/>
          </w:rPr>
          <w:t>M.2410</w:t>
        </w:r>
      </w:hyperlink>
      <w:r w:rsidRPr="008D5CBA">
        <w:t>). For IMT-2020, Energy efficiency of the network and the device related to the support for two aspects:</w:t>
      </w:r>
    </w:p>
    <w:p w14:paraId="2A703767" w14:textId="77777777" w:rsidR="00F83D14" w:rsidRPr="008D5CBA" w:rsidRDefault="00F83D14" w:rsidP="00F83D14">
      <w:pPr>
        <w:pStyle w:val="BodyText"/>
        <w:numPr>
          <w:ilvl w:val="0"/>
          <w:numId w:val="28"/>
        </w:numPr>
      </w:pPr>
      <w:r w:rsidRPr="008D5CBA">
        <w:t>Efficient data transmission in a loaded case (demonstrated by average spectral efficiency</w:t>
      </w:r>
      <w:proofErr w:type="gramStart"/>
      <w:r w:rsidRPr="008D5CBA">
        <w:t>);</w:t>
      </w:r>
      <w:proofErr w:type="gramEnd"/>
    </w:p>
    <w:p w14:paraId="2E0A404A" w14:textId="77777777" w:rsidR="00F83D14" w:rsidRPr="008D5CBA" w:rsidRDefault="00F83D14" w:rsidP="00F83D14">
      <w:pPr>
        <w:pStyle w:val="BodyText"/>
        <w:numPr>
          <w:ilvl w:val="0"/>
          <w:numId w:val="28"/>
        </w:numPr>
      </w:pPr>
      <w:r w:rsidRPr="008D5CBA">
        <w:t>Low energy consumption when there is no data (demonstrated by the capability to support a high sleep ratio and long sleep duration).</w:t>
      </w:r>
    </w:p>
    <w:p w14:paraId="5A511080" w14:textId="77777777" w:rsidR="00F83D14" w:rsidRPr="008D5CBA" w:rsidRDefault="00F83D14" w:rsidP="00F83D14">
      <w:pPr>
        <w:pStyle w:val="BodyText"/>
      </w:pPr>
      <w:r w:rsidRPr="008D5CBA">
        <w:t>While the requirement for IMT-2020 was to demonstrate the presence of the capability, evaluations were in fact quantitative, though no limits were put on the resulting sleep ratio and duration.</w:t>
      </w:r>
    </w:p>
    <w:p w14:paraId="72F2F27C" w14:textId="401AFDC3" w:rsidR="00F83D14" w:rsidRPr="008D5CBA" w:rsidRDefault="00F83D14" w:rsidP="00F83D14">
      <w:pPr>
        <w:pStyle w:val="BodyText"/>
      </w:pPr>
      <w:r w:rsidRPr="008D5CBA">
        <w:t>Quantitative evaluation for IMT-2030 is possible, based on the sleep ratio/duration parameters or on related metrics also involving power models. Power models have been proposed for energy efficiency for some time [</w:t>
      </w:r>
      <w:r w:rsidR="00B46F28">
        <w:t>5</w:t>
      </w:r>
      <w:r w:rsidRPr="008D5CBA">
        <w:t>] and was also applied in one independent evaluation of the 5G NR RIT for IMT-2020 [</w:t>
      </w:r>
      <w:r w:rsidR="00B46F28">
        <w:t>6</w:t>
      </w:r>
      <w:r w:rsidRPr="008D5CBA">
        <w:t xml:space="preserve">]. Studies are also ongoing in </w:t>
      </w:r>
      <w:r w:rsidR="00B46F28">
        <w:t>3GPP</w:t>
      </w:r>
      <w:r w:rsidRPr="008D5CBA">
        <w:t xml:space="preserve"> [</w:t>
      </w:r>
      <w:r w:rsidR="00B46F28">
        <w:t>7</w:t>
      </w:r>
      <w:r w:rsidRPr="008D5CBA">
        <w:t>].</w:t>
      </w:r>
    </w:p>
    <w:p w14:paraId="6D4D8624" w14:textId="77777777" w:rsidR="00F83D14" w:rsidRPr="008D5CBA" w:rsidRDefault="00F83D14" w:rsidP="00F83D14">
      <w:pPr>
        <w:pStyle w:val="BodyText"/>
      </w:pPr>
      <w:r w:rsidRPr="008D5CBA">
        <w:t>It is therefore proposed to introduce a quantitative TPR on Energy Efficiency for IMT-2030. There are several possibilities for the ambition level of the requirement:</w:t>
      </w:r>
    </w:p>
    <w:p w14:paraId="52200019" w14:textId="77777777" w:rsidR="00F83D14" w:rsidRPr="008D5CBA" w:rsidRDefault="00F83D14" w:rsidP="00F83D14">
      <w:pPr>
        <w:pStyle w:val="BodyText"/>
        <w:numPr>
          <w:ilvl w:val="0"/>
          <w:numId w:val="30"/>
        </w:numPr>
      </w:pPr>
      <w:r w:rsidRPr="008D5CBA">
        <w:t xml:space="preserve">An evaluation to demonstrate the capability to support a high sleep ratio and long sleep duration (Inspection; </w:t>
      </w:r>
      <w:proofErr w:type="gramStart"/>
      <w:r w:rsidRPr="008D5CBA">
        <w:t>Similar to</w:t>
      </w:r>
      <w:proofErr w:type="gramEnd"/>
      <w:r w:rsidRPr="008D5CBA">
        <w:t xml:space="preserve"> IMT-2020 evaluation)</w:t>
      </w:r>
    </w:p>
    <w:p w14:paraId="30B0A403" w14:textId="77777777" w:rsidR="00F83D14" w:rsidRPr="008D5CBA" w:rsidRDefault="00F83D14" w:rsidP="00F83D14">
      <w:pPr>
        <w:pStyle w:val="BodyText"/>
        <w:numPr>
          <w:ilvl w:val="0"/>
          <w:numId w:val="30"/>
        </w:numPr>
      </w:pPr>
      <w:r w:rsidRPr="008D5CBA">
        <w:t>A quantitative evaluation to demonstrate the level of sleep ratio and long sleep duration supported by the RIT (Analysis; With TPR limits on sleep ratio and sleep duration)</w:t>
      </w:r>
    </w:p>
    <w:p w14:paraId="0390D445" w14:textId="77777777" w:rsidR="00F83D14" w:rsidRPr="008D5CBA" w:rsidRDefault="00F83D14" w:rsidP="00F83D14">
      <w:pPr>
        <w:pStyle w:val="BodyText"/>
        <w:numPr>
          <w:ilvl w:val="0"/>
          <w:numId w:val="30"/>
        </w:numPr>
      </w:pPr>
      <w:r w:rsidRPr="008D5CBA">
        <w:t>A quantitative evaluation to demonstrate the power savings of sleep ratio and sleep duration for the RIT using power models (Analysis without user data traffic; With TPR limits on relative energy savings)</w:t>
      </w:r>
    </w:p>
    <w:p w14:paraId="662C11FD" w14:textId="77777777" w:rsidR="00F83D14" w:rsidRPr="008D5CBA" w:rsidRDefault="00F83D14" w:rsidP="00F83D14">
      <w:pPr>
        <w:pStyle w:val="BodyText"/>
        <w:numPr>
          <w:ilvl w:val="0"/>
          <w:numId w:val="30"/>
        </w:numPr>
      </w:pPr>
      <w:r w:rsidRPr="008D5CBA">
        <w:t>A quantitative evaluation to demonstrate the power savings of sleep ratio and sleep duration for the RIT using power models (Simulation with user data traffic; With TPR limits on relative energy savings)</w:t>
      </w:r>
    </w:p>
    <w:p w14:paraId="43BAF638" w14:textId="77777777" w:rsidR="00F83D14" w:rsidRPr="008D5CBA" w:rsidRDefault="00F83D14" w:rsidP="00F83D14">
      <w:pPr>
        <w:pStyle w:val="BodyText"/>
      </w:pPr>
      <w:r w:rsidRPr="008D5CBA">
        <w:t>Level 1) above is the same TPR as for IMT-2020, while level 2) is based on the same type of evaluation, but with limits for the TPR (sleep ratio and duration).</w:t>
      </w:r>
    </w:p>
    <w:p w14:paraId="76849DFA" w14:textId="77777777" w:rsidR="00F83D14" w:rsidRPr="008D5CBA" w:rsidRDefault="00F83D14" w:rsidP="00F83D14">
      <w:pPr>
        <w:pStyle w:val="BodyText"/>
      </w:pPr>
      <w:r w:rsidRPr="008D5CBA">
        <w:t xml:space="preserve">Level 3) and 4) are further advancement that also involve power models. In 3) the power model is applied to the different sleep modes of the RIT and the related sleep durations for a case without data traffic, to estimate how much power saving they would achieve. </w:t>
      </w:r>
    </w:p>
    <w:p w14:paraId="58AD85A4" w14:textId="77777777" w:rsidR="00F83D14" w:rsidRPr="008D5CBA" w:rsidRDefault="00F83D14" w:rsidP="00F83D14">
      <w:pPr>
        <w:pStyle w:val="BodyText"/>
      </w:pPr>
      <w:r w:rsidRPr="008D5CBA">
        <w:t xml:space="preserve">Level 4) is a further step where the power model is applied in a system level simulation, </w:t>
      </w:r>
      <w:proofErr w:type="gramStart"/>
      <w:r w:rsidRPr="008D5CBA">
        <w:t>similar to</w:t>
      </w:r>
      <w:proofErr w:type="gramEnd"/>
      <w:r w:rsidRPr="008D5CBA">
        <w:t xml:space="preserve"> the ones used for spectral efficiency and data rate, using same or similar test environment(s). Simulations cannot be with full buffer traffic but should instead be based on a specific mix of services and user traffic distribution. In this way an energy efficiency advantage can be demonstrated by efficient data transmission giving longer transmission gaps, or by demonstrating advantage in off-loading traffic from high power cells.</w:t>
      </w:r>
    </w:p>
    <w:p w14:paraId="13ECCE4E" w14:textId="77777777" w:rsidR="00F83D14" w:rsidRPr="008D5CBA" w:rsidRDefault="00F83D14" w:rsidP="00F83D14">
      <w:pPr>
        <w:pStyle w:val="BodyText"/>
      </w:pPr>
      <w:r w:rsidRPr="008D5CBA">
        <w:t>It is proposed that a TPR based on level 3) or 4) above is developed.</w:t>
      </w:r>
    </w:p>
    <w:p w14:paraId="4B282496" w14:textId="77777777" w:rsidR="00F83D14" w:rsidRPr="00F83D14" w:rsidRDefault="00F83D14" w:rsidP="00680A9A">
      <w:pPr>
        <w:pStyle w:val="BodyText"/>
        <w:rPr>
          <w:lang w:val="en-US"/>
        </w:rPr>
      </w:pPr>
    </w:p>
    <w:p w14:paraId="667F1678" w14:textId="77777777" w:rsidR="00D466E4" w:rsidRPr="009177A5" w:rsidRDefault="00D466E4">
      <w:pPr>
        <w:rPr>
          <w:rFonts w:ascii="Arial" w:hAnsi="Arial" w:cs="Arial"/>
          <w:lang w:val="en-US"/>
        </w:rPr>
      </w:pPr>
    </w:p>
    <w:sectPr w:rsidR="00D466E4" w:rsidRPr="009177A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B8199" w14:textId="77777777" w:rsidR="001168CC" w:rsidRDefault="001168CC">
      <w:r>
        <w:separator/>
      </w:r>
    </w:p>
  </w:endnote>
  <w:endnote w:type="continuationSeparator" w:id="0">
    <w:p w14:paraId="490BCCB8" w14:textId="77777777" w:rsidR="001168CC" w:rsidRDefault="00116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52FCD" w14:textId="77777777" w:rsidR="001168CC" w:rsidRDefault="001168CC">
      <w:r>
        <w:separator/>
      </w:r>
    </w:p>
  </w:footnote>
  <w:footnote w:type="continuationSeparator" w:id="0">
    <w:p w14:paraId="702EB87D" w14:textId="77777777" w:rsidR="001168CC" w:rsidRDefault="00116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39F0"/>
    <w:multiLevelType w:val="hybridMultilevel"/>
    <w:tmpl w:val="CA0841DA"/>
    <w:lvl w:ilvl="0" w:tplc="D3005B7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C30E45"/>
    <w:multiLevelType w:val="hybridMultilevel"/>
    <w:tmpl w:val="97504300"/>
    <w:lvl w:ilvl="0" w:tplc="20000015">
      <w:start w:val="1"/>
      <w:numFmt w:val="upp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2741AF9"/>
    <w:multiLevelType w:val="hybridMultilevel"/>
    <w:tmpl w:val="CF0CA66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76778C"/>
    <w:multiLevelType w:val="hybridMultilevel"/>
    <w:tmpl w:val="1CBE0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EA5D71"/>
    <w:multiLevelType w:val="hybridMultilevel"/>
    <w:tmpl w:val="F912C490"/>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6" w15:restartNumberingAfterBreak="0">
    <w:nsid w:val="13821B21"/>
    <w:multiLevelType w:val="hybridMultilevel"/>
    <w:tmpl w:val="EC36571C"/>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AA43777"/>
    <w:multiLevelType w:val="hybridMultilevel"/>
    <w:tmpl w:val="39E212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0" w15:restartNumberingAfterBreak="0">
    <w:nsid w:val="1E782039"/>
    <w:multiLevelType w:val="hybridMultilevel"/>
    <w:tmpl w:val="8386493E"/>
    <w:lvl w:ilvl="0" w:tplc="2000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FAD62D7"/>
    <w:multiLevelType w:val="hybridMultilevel"/>
    <w:tmpl w:val="BAD4CA24"/>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5F2562"/>
    <w:multiLevelType w:val="hybridMultilevel"/>
    <w:tmpl w:val="A24497A0"/>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D056E"/>
    <w:multiLevelType w:val="hybridMultilevel"/>
    <w:tmpl w:val="7A6CF546"/>
    <w:lvl w:ilvl="0" w:tplc="2000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82E79E6"/>
    <w:multiLevelType w:val="hybridMultilevel"/>
    <w:tmpl w:val="74E4EC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341084"/>
    <w:multiLevelType w:val="hybridMultilevel"/>
    <w:tmpl w:val="B1EA0CF0"/>
    <w:lvl w:ilvl="0" w:tplc="C27C9A22">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75585C"/>
    <w:multiLevelType w:val="hybridMultilevel"/>
    <w:tmpl w:val="F634B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9E793A"/>
    <w:multiLevelType w:val="hybridMultilevel"/>
    <w:tmpl w:val="8F645256"/>
    <w:lvl w:ilvl="0" w:tplc="2000000F">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6A1256A"/>
    <w:multiLevelType w:val="hybridMultilevel"/>
    <w:tmpl w:val="C32CF5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F8415AB"/>
    <w:multiLevelType w:val="hybridMultilevel"/>
    <w:tmpl w:val="9DE01934"/>
    <w:lvl w:ilvl="0" w:tplc="3F809F60">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88343E5"/>
    <w:multiLevelType w:val="hybridMultilevel"/>
    <w:tmpl w:val="D0247E4C"/>
    <w:lvl w:ilvl="0" w:tplc="DF344D8A">
      <w:start w:val="3"/>
      <w:numFmt w:val="bullet"/>
      <w:lvlText w:val=""/>
      <w:lvlJc w:val="left"/>
      <w:pPr>
        <w:ind w:left="1440" w:hanging="72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96513E3"/>
    <w:multiLevelType w:val="hybridMultilevel"/>
    <w:tmpl w:val="1B4212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95F0E6B"/>
    <w:multiLevelType w:val="hybridMultilevel"/>
    <w:tmpl w:val="CEE22FC2"/>
    <w:lvl w:ilvl="0" w:tplc="2000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32295416">
    <w:abstractNumId w:val="26"/>
  </w:num>
  <w:num w:numId="2" w16cid:durableId="1612736776">
    <w:abstractNumId w:val="20"/>
  </w:num>
  <w:num w:numId="3" w16cid:durableId="615021726">
    <w:abstractNumId w:val="18"/>
  </w:num>
  <w:num w:numId="4" w16cid:durableId="958535015">
    <w:abstractNumId w:val="25"/>
  </w:num>
  <w:num w:numId="5" w16cid:durableId="385420704">
    <w:abstractNumId w:val="22"/>
  </w:num>
  <w:num w:numId="6" w16cid:durableId="610163908">
    <w:abstractNumId w:val="33"/>
  </w:num>
  <w:num w:numId="7" w16cid:durableId="436222761">
    <w:abstractNumId w:val="7"/>
  </w:num>
  <w:num w:numId="8" w16cid:durableId="1451164635">
    <w:abstractNumId w:val="1"/>
  </w:num>
  <w:num w:numId="9" w16cid:durableId="1797720510">
    <w:abstractNumId w:val="21"/>
  </w:num>
  <w:num w:numId="10" w16cid:durableId="2033145209">
    <w:abstractNumId w:val="14"/>
  </w:num>
  <w:num w:numId="11" w16cid:durableId="58212239">
    <w:abstractNumId w:val="16"/>
  </w:num>
  <w:num w:numId="12" w16cid:durableId="525290187">
    <w:abstractNumId w:val="12"/>
  </w:num>
  <w:num w:numId="13" w16cid:durableId="1392076240">
    <w:abstractNumId w:val="19"/>
  </w:num>
  <w:num w:numId="14" w16cid:durableId="1406024439">
    <w:abstractNumId w:val="9"/>
  </w:num>
  <w:num w:numId="15" w16cid:durableId="1509294932">
    <w:abstractNumId w:val="15"/>
  </w:num>
  <w:num w:numId="16" w16cid:durableId="239944042">
    <w:abstractNumId w:val="27"/>
  </w:num>
  <w:num w:numId="17" w16cid:durableId="1902253121">
    <w:abstractNumId w:val="17"/>
  </w:num>
  <w:num w:numId="18" w16cid:durableId="1233738210">
    <w:abstractNumId w:val="32"/>
  </w:num>
  <w:num w:numId="19" w16cid:durableId="992106795">
    <w:abstractNumId w:val="8"/>
  </w:num>
  <w:num w:numId="20" w16cid:durableId="20522562">
    <w:abstractNumId w:val="11"/>
  </w:num>
  <w:num w:numId="21" w16cid:durableId="42407818">
    <w:abstractNumId w:val="24"/>
  </w:num>
  <w:num w:numId="22" w16cid:durableId="1446198036">
    <w:abstractNumId w:val="28"/>
  </w:num>
  <w:num w:numId="23" w16cid:durableId="684404162">
    <w:abstractNumId w:val="23"/>
  </w:num>
  <w:num w:numId="24" w16cid:durableId="2143956994">
    <w:abstractNumId w:val="5"/>
  </w:num>
  <w:num w:numId="25" w16cid:durableId="744498151">
    <w:abstractNumId w:val="3"/>
  </w:num>
  <w:num w:numId="26" w16cid:durableId="894894362">
    <w:abstractNumId w:val="31"/>
  </w:num>
  <w:num w:numId="27" w16cid:durableId="1612856619">
    <w:abstractNumId w:val="34"/>
  </w:num>
  <w:num w:numId="28" w16cid:durableId="625546838">
    <w:abstractNumId w:val="6"/>
  </w:num>
  <w:num w:numId="29" w16cid:durableId="440690111">
    <w:abstractNumId w:val="30"/>
  </w:num>
  <w:num w:numId="30" w16cid:durableId="755710203">
    <w:abstractNumId w:val="13"/>
  </w:num>
  <w:num w:numId="31" w16cid:durableId="607616080">
    <w:abstractNumId w:val="0"/>
  </w:num>
  <w:num w:numId="32" w16cid:durableId="1589345992">
    <w:abstractNumId w:val="2"/>
  </w:num>
  <w:num w:numId="33" w16cid:durableId="1682589955">
    <w:abstractNumId w:val="10"/>
  </w:num>
  <w:num w:numId="34" w16cid:durableId="14700366">
    <w:abstractNumId w:val="29"/>
  </w:num>
  <w:num w:numId="35" w16cid:durableId="16171779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11776"/>
    <w:rsid w:val="00016CA3"/>
    <w:rsid w:val="00022B48"/>
    <w:rsid w:val="000237F0"/>
    <w:rsid w:val="00037BA8"/>
    <w:rsid w:val="00047F45"/>
    <w:rsid w:val="0006072E"/>
    <w:rsid w:val="00063B5C"/>
    <w:rsid w:val="00067B1B"/>
    <w:rsid w:val="000A5706"/>
    <w:rsid w:val="000C0308"/>
    <w:rsid w:val="000C0855"/>
    <w:rsid w:val="000C5F61"/>
    <w:rsid w:val="000E5D87"/>
    <w:rsid w:val="000F08F9"/>
    <w:rsid w:val="000F1261"/>
    <w:rsid w:val="000F41F1"/>
    <w:rsid w:val="000F7F74"/>
    <w:rsid w:val="0010279D"/>
    <w:rsid w:val="00113182"/>
    <w:rsid w:val="001168CC"/>
    <w:rsid w:val="00124AB3"/>
    <w:rsid w:val="001260A0"/>
    <w:rsid w:val="00133064"/>
    <w:rsid w:val="00133B5A"/>
    <w:rsid w:val="00134CFA"/>
    <w:rsid w:val="001357BA"/>
    <w:rsid w:val="00163220"/>
    <w:rsid w:val="001638B9"/>
    <w:rsid w:val="00166C84"/>
    <w:rsid w:val="00166D2E"/>
    <w:rsid w:val="00172FC1"/>
    <w:rsid w:val="00174101"/>
    <w:rsid w:val="00181130"/>
    <w:rsid w:val="00186510"/>
    <w:rsid w:val="00187095"/>
    <w:rsid w:val="001909A3"/>
    <w:rsid w:val="001B2B7D"/>
    <w:rsid w:val="001C758F"/>
    <w:rsid w:val="001D46A7"/>
    <w:rsid w:val="001E7A9E"/>
    <w:rsid w:val="00205FAC"/>
    <w:rsid w:val="0021189D"/>
    <w:rsid w:val="00237340"/>
    <w:rsid w:val="002374EE"/>
    <w:rsid w:val="00246998"/>
    <w:rsid w:val="00265D42"/>
    <w:rsid w:val="00272990"/>
    <w:rsid w:val="00281DE1"/>
    <w:rsid w:val="00290443"/>
    <w:rsid w:val="00294CF5"/>
    <w:rsid w:val="002A118B"/>
    <w:rsid w:val="002A4267"/>
    <w:rsid w:val="002B6B5E"/>
    <w:rsid w:val="002C233C"/>
    <w:rsid w:val="002C781B"/>
    <w:rsid w:val="002D2D54"/>
    <w:rsid w:val="002E3E1A"/>
    <w:rsid w:val="002F37BD"/>
    <w:rsid w:val="002F612D"/>
    <w:rsid w:val="00304E78"/>
    <w:rsid w:val="00306ED0"/>
    <w:rsid w:val="00314711"/>
    <w:rsid w:val="00314EDE"/>
    <w:rsid w:val="00320346"/>
    <w:rsid w:val="00326A41"/>
    <w:rsid w:val="003271A7"/>
    <w:rsid w:val="00345BFE"/>
    <w:rsid w:val="00347B9D"/>
    <w:rsid w:val="00352980"/>
    <w:rsid w:val="00366695"/>
    <w:rsid w:val="003673C9"/>
    <w:rsid w:val="003710C4"/>
    <w:rsid w:val="003739C5"/>
    <w:rsid w:val="00376953"/>
    <w:rsid w:val="00377E84"/>
    <w:rsid w:val="00390BBB"/>
    <w:rsid w:val="00397389"/>
    <w:rsid w:val="003B48F2"/>
    <w:rsid w:val="003C0934"/>
    <w:rsid w:val="003C6850"/>
    <w:rsid w:val="003D3111"/>
    <w:rsid w:val="004017E5"/>
    <w:rsid w:val="00403B74"/>
    <w:rsid w:val="00405C7C"/>
    <w:rsid w:val="00425637"/>
    <w:rsid w:val="00431D7D"/>
    <w:rsid w:val="0043565D"/>
    <w:rsid w:val="00442274"/>
    <w:rsid w:val="0044598B"/>
    <w:rsid w:val="0044655B"/>
    <w:rsid w:val="0045630F"/>
    <w:rsid w:val="004672AB"/>
    <w:rsid w:val="00480B55"/>
    <w:rsid w:val="004859D7"/>
    <w:rsid w:val="004908D8"/>
    <w:rsid w:val="004926AD"/>
    <w:rsid w:val="00494B09"/>
    <w:rsid w:val="00496500"/>
    <w:rsid w:val="004A0574"/>
    <w:rsid w:val="004A1F0E"/>
    <w:rsid w:val="004A31C5"/>
    <w:rsid w:val="004A5264"/>
    <w:rsid w:val="004A5351"/>
    <w:rsid w:val="004A71C1"/>
    <w:rsid w:val="004C1A3D"/>
    <w:rsid w:val="004C701B"/>
    <w:rsid w:val="004D134B"/>
    <w:rsid w:val="004D2914"/>
    <w:rsid w:val="004D48EC"/>
    <w:rsid w:val="004E6006"/>
    <w:rsid w:val="004F0707"/>
    <w:rsid w:val="00502A40"/>
    <w:rsid w:val="0052219E"/>
    <w:rsid w:val="00524C96"/>
    <w:rsid w:val="005271FB"/>
    <w:rsid w:val="005316F6"/>
    <w:rsid w:val="00545B40"/>
    <w:rsid w:val="005474F0"/>
    <w:rsid w:val="00551262"/>
    <w:rsid w:val="00552900"/>
    <w:rsid w:val="00571FDC"/>
    <w:rsid w:val="00580C39"/>
    <w:rsid w:val="00583594"/>
    <w:rsid w:val="00586410"/>
    <w:rsid w:val="00592364"/>
    <w:rsid w:val="005A6088"/>
    <w:rsid w:val="005A7A0B"/>
    <w:rsid w:val="005B0E5E"/>
    <w:rsid w:val="005C01CC"/>
    <w:rsid w:val="005D1D6A"/>
    <w:rsid w:val="005D2A94"/>
    <w:rsid w:val="005D2EB7"/>
    <w:rsid w:val="005D3014"/>
    <w:rsid w:val="005D4474"/>
    <w:rsid w:val="005E24CC"/>
    <w:rsid w:val="005E70DF"/>
    <w:rsid w:val="005E792F"/>
    <w:rsid w:val="005F0B32"/>
    <w:rsid w:val="005F6BB8"/>
    <w:rsid w:val="006011A8"/>
    <w:rsid w:val="00604C2B"/>
    <w:rsid w:val="006112E8"/>
    <w:rsid w:val="00612921"/>
    <w:rsid w:val="006137E3"/>
    <w:rsid w:val="006165DA"/>
    <w:rsid w:val="00617A60"/>
    <w:rsid w:val="0062237B"/>
    <w:rsid w:val="00626F96"/>
    <w:rsid w:val="00627220"/>
    <w:rsid w:val="00630A71"/>
    <w:rsid w:val="0063150A"/>
    <w:rsid w:val="00637023"/>
    <w:rsid w:val="00640BE4"/>
    <w:rsid w:val="006424D8"/>
    <w:rsid w:val="006539BE"/>
    <w:rsid w:val="00656B13"/>
    <w:rsid w:val="006577E0"/>
    <w:rsid w:val="006648A7"/>
    <w:rsid w:val="00666410"/>
    <w:rsid w:val="0067141B"/>
    <w:rsid w:val="00674F79"/>
    <w:rsid w:val="00680483"/>
    <w:rsid w:val="00680A9A"/>
    <w:rsid w:val="00685BF9"/>
    <w:rsid w:val="006926E0"/>
    <w:rsid w:val="006A1D96"/>
    <w:rsid w:val="006A7D78"/>
    <w:rsid w:val="006B0700"/>
    <w:rsid w:val="006B503A"/>
    <w:rsid w:val="006C543A"/>
    <w:rsid w:val="006D1494"/>
    <w:rsid w:val="006D5F54"/>
    <w:rsid w:val="006D6C66"/>
    <w:rsid w:val="006F3C5F"/>
    <w:rsid w:val="0070106C"/>
    <w:rsid w:val="00701224"/>
    <w:rsid w:val="0070201D"/>
    <w:rsid w:val="007061AB"/>
    <w:rsid w:val="00714C76"/>
    <w:rsid w:val="00721E37"/>
    <w:rsid w:val="00737B89"/>
    <w:rsid w:val="00745365"/>
    <w:rsid w:val="007467A5"/>
    <w:rsid w:val="0074776E"/>
    <w:rsid w:val="007554CE"/>
    <w:rsid w:val="0076687C"/>
    <w:rsid w:val="007676C2"/>
    <w:rsid w:val="007743A7"/>
    <w:rsid w:val="007A3D20"/>
    <w:rsid w:val="007D704C"/>
    <w:rsid w:val="007D7213"/>
    <w:rsid w:val="007E1B06"/>
    <w:rsid w:val="008125D8"/>
    <w:rsid w:val="00813593"/>
    <w:rsid w:val="008143CD"/>
    <w:rsid w:val="00831ABB"/>
    <w:rsid w:val="00833972"/>
    <w:rsid w:val="00836B80"/>
    <w:rsid w:val="0086504D"/>
    <w:rsid w:val="00873A66"/>
    <w:rsid w:val="008743E1"/>
    <w:rsid w:val="00876057"/>
    <w:rsid w:val="00880030"/>
    <w:rsid w:val="008820FC"/>
    <w:rsid w:val="00893082"/>
    <w:rsid w:val="00896C6F"/>
    <w:rsid w:val="008C48BA"/>
    <w:rsid w:val="008C7085"/>
    <w:rsid w:val="008C78B4"/>
    <w:rsid w:val="008D3D1D"/>
    <w:rsid w:val="008D5CBA"/>
    <w:rsid w:val="008D63F9"/>
    <w:rsid w:val="008D7F5B"/>
    <w:rsid w:val="008F5E1F"/>
    <w:rsid w:val="00900C64"/>
    <w:rsid w:val="009062D0"/>
    <w:rsid w:val="00913C0F"/>
    <w:rsid w:val="009177A5"/>
    <w:rsid w:val="00923CDF"/>
    <w:rsid w:val="00926E5B"/>
    <w:rsid w:val="00937888"/>
    <w:rsid w:val="00937D9C"/>
    <w:rsid w:val="009467F0"/>
    <w:rsid w:val="009536A8"/>
    <w:rsid w:val="00953F92"/>
    <w:rsid w:val="00954A47"/>
    <w:rsid w:val="00957486"/>
    <w:rsid w:val="00970462"/>
    <w:rsid w:val="00971586"/>
    <w:rsid w:val="00983238"/>
    <w:rsid w:val="00990790"/>
    <w:rsid w:val="00993AC9"/>
    <w:rsid w:val="009972FA"/>
    <w:rsid w:val="009A4E07"/>
    <w:rsid w:val="009B23CB"/>
    <w:rsid w:val="009B27AA"/>
    <w:rsid w:val="009C1154"/>
    <w:rsid w:val="009C1D1E"/>
    <w:rsid w:val="009F7379"/>
    <w:rsid w:val="00A02A2D"/>
    <w:rsid w:val="00A206D0"/>
    <w:rsid w:val="00A33848"/>
    <w:rsid w:val="00A603D8"/>
    <w:rsid w:val="00A6681C"/>
    <w:rsid w:val="00A70759"/>
    <w:rsid w:val="00A74397"/>
    <w:rsid w:val="00A96089"/>
    <w:rsid w:val="00AA7E70"/>
    <w:rsid w:val="00AB1CBA"/>
    <w:rsid w:val="00AB2BE1"/>
    <w:rsid w:val="00AB4C64"/>
    <w:rsid w:val="00AB4CE0"/>
    <w:rsid w:val="00AB70AE"/>
    <w:rsid w:val="00AD1AC8"/>
    <w:rsid w:val="00AE060D"/>
    <w:rsid w:val="00AE298E"/>
    <w:rsid w:val="00AF5CC5"/>
    <w:rsid w:val="00B0059F"/>
    <w:rsid w:val="00B15BF9"/>
    <w:rsid w:val="00B228D3"/>
    <w:rsid w:val="00B241D5"/>
    <w:rsid w:val="00B26567"/>
    <w:rsid w:val="00B340C5"/>
    <w:rsid w:val="00B4165B"/>
    <w:rsid w:val="00B4315B"/>
    <w:rsid w:val="00B445A4"/>
    <w:rsid w:val="00B46F28"/>
    <w:rsid w:val="00B520BA"/>
    <w:rsid w:val="00B6425C"/>
    <w:rsid w:val="00B72558"/>
    <w:rsid w:val="00B73A1E"/>
    <w:rsid w:val="00B75EC3"/>
    <w:rsid w:val="00B77155"/>
    <w:rsid w:val="00B801AF"/>
    <w:rsid w:val="00B80476"/>
    <w:rsid w:val="00BD2466"/>
    <w:rsid w:val="00BF0EB5"/>
    <w:rsid w:val="00BF1F70"/>
    <w:rsid w:val="00BF4694"/>
    <w:rsid w:val="00C1639A"/>
    <w:rsid w:val="00C1649F"/>
    <w:rsid w:val="00C2721F"/>
    <w:rsid w:val="00C37A1B"/>
    <w:rsid w:val="00C431BE"/>
    <w:rsid w:val="00C46751"/>
    <w:rsid w:val="00C46E81"/>
    <w:rsid w:val="00C5182B"/>
    <w:rsid w:val="00C546A8"/>
    <w:rsid w:val="00C5660D"/>
    <w:rsid w:val="00C617CE"/>
    <w:rsid w:val="00C81023"/>
    <w:rsid w:val="00C84FC7"/>
    <w:rsid w:val="00C91A45"/>
    <w:rsid w:val="00C93AC6"/>
    <w:rsid w:val="00CA243A"/>
    <w:rsid w:val="00CB6253"/>
    <w:rsid w:val="00CB751D"/>
    <w:rsid w:val="00CC00BD"/>
    <w:rsid w:val="00CC01E7"/>
    <w:rsid w:val="00CC73F5"/>
    <w:rsid w:val="00CD5AB3"/>
    <w:rsid w:val="00CE562F"/>
    <w:rsid w:val="00CE5BBA"/>
    <w:rsid w:val="00CF4F27"/>
    <w:rsid w:val="00CF50BE"/>
    <w:rsid w:val="00CF75E9"/>
    <w:rsid w:val="00D06D85"/>
    <w:rsid w:val="00D16EC3"/>
    <w:rsid w:val="00D2274A"/>
    <w:rsid w:val="00D26B71"/>
    <w:rsid w:val="00D32522"/>
    <w:rsid w:val="00D35BB8"/>
    <w:rsid w:val="00D44825"/>
    <w:rsid w:val="00D466E4"/>
    <w:rsid w:val="00D534DA"/>
    <w:rsid w:val="00D6268F"/>
    <w:rsid w:val="00D6408E"/>
    <w:rsid w:val="00D646C0"/>
    <w:rsid w:val="00D8048C"/>
    <w:rsid w:val="00D87CC2"/>
    <w:rsid w:val="00D92470"/>
    <w:rsid w:val="00DB56A2"/>
    <w:rsid w:val="00DC0E1D"/>
    <w:rsid w:val="00DC23D4"/>
    <w:rsid w:val="00DC2851"/>
    <w:rsid w:val="00DF1B9B"/>
    <w:rsid w:val="00DF1F60"/>
    <w:rsid w:val="00E12CF3"/>
    <w:rsid w:val="00E25574"/>
    <w:rsid w:val="00E317C8"/>
    <w:rsid w:val="00E34C99"/>
    <w:rsid w:val="00E465C0"/>
    <w:rsid w:val="00E5091B"/>
    <w:rsid w:val="00E52110"/>
    <w:rsid w:val="00E5213B"/>
    <w:rsid w:val="00E523AA"/>
    <w:rsid w:val="00E64966"/>
    <w:rsid w:val="00E65329"/>
    <w:rsid w:val="00E665AE"/>
    <w:rsid w:val="00E67AE2"/>
    <w:rsid w:val="00E71A1A"/>
    <w:rsid w:val="00E85053"/>
    <w:rsid w:val="00E91AA4"/>
    <w:rsid w:val="00E9449A"/>
    <w:rsid w:val="00E96D3A"/>
    <w:rsid w:val="00EB20E6"/>
    <w:rsid w:val="00EB2AC9"/>
    <w:rsid w:val="00EB4101"/>
    <w:rsid w:val="00EB7A47"/>
    <w:rsid w:val="00EC4D40"/>
    <w:rsid w:val="00ED38E0"/>
    <w:rsid w:val="00ED57E7"/>
    <w:rsid w:val="00ED5EC6"/>
    <w:rsid w:val="00EE32C0"/>
    <w:rsid w:val="00EF0BC3"/>
    <w:rsid w:val="00EF2017"/>
    <w:rsid w:val="00F00133"/>
    <w:rsid w:val="00F030E8"/>
    <w:rsid w:val="00F0336F"/>
    <w:rsid w:val="00F06C5C"/>
    <w:rsid w:val="00F10B2B"/>
    <w:rsid w:val="00F11F98"/>
    <w:rsid w:val="00F32056"/>
    <w:rsid w:val="00F3592A"/>
    <w:rsid w:val="00F51A48"/>
    <w:rsid w:val="00F56778"/>
    <w:rsid w:val="00F6148F"/>
    <w:rsid w:val="00F6291E"/>
    <w:rsid w:val="00F645EE"/>
    <w:rsid w:val="00F660AB"/>
    <w:rsid w:val="00F76429"/>
    <w:rsid w:val="00F8357F"/>
    <w:rsid w:val="00F83D14"/>
    <w:rsid w:val="00F910FB"/>
    <w:rsid w:val="00F92094"/>
    <w:rsid w:val="00FA0E83"/>
    <w:rsid w:val="00FB43BF"/>
    <w:rsid w:val="00FC65AC"/>
    <w:rsid w:val="00FD2BAD"/>
    <w:rsid w:val="00FD2D4A"/>
    <w:rsid w:val="00FE6B9D"/>
    <w:rsid w:val="00FF2308"/>
    <w:rsid w:val="00FF3119"/>
    <w:rsid w:val="00FF5A5B"/>
    <w:rsid w:val="00FF71A8"/>
    <w:rsid w:val="02777601"/>
    <w:rsid w:val="1BB2E045"/>
    <w:rsid w:val="412CC15C"/>
    <w:rsid w:val="4B9266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CBA"/>
    <w:rPr>
      <w:lang w:val="en-GB" w:eastAsia="en-US"/>
    </w:rPr>
  </w:style>
  <w:style w:type="paragraph" w:styleId="Heading1">
    <w:name w:val="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basedOn w:val="Normal"/>
    <w:next w:val="BodyText"/>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CommentSubject">
    <w:name w:val="annotation subject"/>
    <w:basedOn w:val="CommentText"/>
    <w:next w:val="CommentText"/>
    <w:link w:val="CommentSubjectChar"/>
    <w:rsid w:val="0013306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33064"/>
    <w:rPr>
      <w:rFonts w:ascii="Arial" w:hAnsi="Arial"/>
      <w:lang w:val="en-GB" w:eastAsia="en-US"/>
    </w:rPr>
  </w:style>
  <w:style w:type="character" w:customStyle="1" w:styleId="CommentSubjectChar">
    <w:name w:val="Comment Subject Char"/>
    <w:basedOn w:val="CommentTextChar"/>
    <w:link w:val="CommentSubject"/>
    <w:rsid w:val="00133064"/>
    <w:rPr>
      <w:rFonts w:ascii="Arial" w:hAnsi="Arial"/>
      <w:b/>
      <w:bCs/>
      <w:lang w:val="en-GB" w:eastAsia="en-US"/>
    </w:rPr>
  </w:style>
  <w:style w:type="paragraph" w:customStyle="1" w:styleId="enumlev1">
    <w:name w:val="enumlev1"/>
    <w:basedOn w:val="Normal"/>
    <w:link w:val="enumlev1Char"/>
    <w:qFormat/>
    <w:rsid w:val="00B26567"/>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rPr>
  </w:style>
  <w:style w:type="character" w:customStyle="1" w:styleId="enumlev1Char">
    <w:name w:val="enumlev1 Char"/>
    <w:link w:val="enumlev1"/>
    <w:qFormat/>
    <w:locked/>
    <w:rsid w:val="00B26567"/>
    <w:rPr>
      <w:sz w:val="24"/>
      <w:lang w:val="en-GB" w:eastAsia="en-US"/>
    </w:rPr>
  </w:style>
  <w:style w:type="paragraph" w:customStyle="1" w:styleId="enumlev2">
    <w:name w:val="enumlev2"/>
    <w:basedOn w:val="enumlev1"/>
    <w:rsid w:val="00C84FC7"/>
    <w:pPr>
      <w:ind w:left="1871" w:hanging="737"/>
    </w:pPr>
  </w:style>
  <w:style w:type="paragraph" w:customStyle="1" w:styleId="Tabletext">
    <w:name w:val="Table_text"/>
    <w:basedOn w:val="Normal"/>
    <w:link w:val="TabletextChar"/>
    <w:rsid w:val="00C84FC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rsid w:val="00C84FC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C84FC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Figuretitle">
    <w:name w:val="Figure_title"/>
    <w:basedOn w:val="Normal"/>
    <w:next w:val="Normal"/>
    <w:link w:val="FiguretitleChar"/>
    <w:rsid w:val="00C84FC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FiguretitleChar">
    <w:name w:val="Figure_title Char"/>
    <w:link w:val="Figuretitle"/>
    <w:rsid w:val="00C84FC7"/>
    <w:rPr>
      <w:rFonts w:ascii="Times New Roman Bold" w:hAnsi="Times New Roman Bold"/>
      <w:b/>
      <w:lang w:val="en-GB" w:eastAsia="en-US"/>
    </w:rPr>
  </w:style>
  <w:style w:type="character" w:customStyle="1" w:styleId="TableNoChar">
    <w:name w:val="Table_No Char"/>
    <w:link w:val="TableNo"/>
    <w:locked/>
    <w:rsid w:val="00C84FC7"/>
    <w:rPr>
      <w:caps/>
      <w:lang w:val="en-GB" w:eastAsia="en-US"/>
    </w:rPr>
  </w:style>
  <w:style w:type="character" w:customStyle="1" w:styleId="TableheadChar">
    <w:name w:val="Table_head Char"/>
    <w:link w:val="Tablehead"/>
    <w:locked/>
    <w:rsid w:val="00C84FC7"/>
    <w:rPr>
      <w:rFonts w:ascii="Times New Roman Bold" w:hAnsi="Times New Roman Bold" w:cs="Times New Roman Bold"/>
      <w:b/>
      <w:lang w:val="en-GB" w:eastAsia="en-US"/>
    </w:rPr>
  </w:style>
  <w:style w:type="character" w:customStyle="1" w:styleId="TabletextChar">
    <w:name w:val="Table_text Char"/>
    <w:link w:val="Tabletext"/>
    <w:locked/>
    <w:rsid w:val="00C84FC7"/>
    <w:rPr>
      <w:lang w:val="en-GB" w:eastAsia="en-US"/>
    </w:rPr>
  </w:style>
  <w:style w:type="paragraph" w:styleId="Revision">
    <w:name w:val="Revision"/>
    <w:hidden/>
    <w:uiPriority w:val="99"/>
    <w:semiHidden/>
    <w:rsid w:val="004C701B"/>
    <w:rPr>
      <w:lang w:val="en-GB" w:eastAsia="en-US"/>
    </w:rPr>
  </w:style>
  <w:style w:type="character" w:styleId="UnresolvedMention">
    <w:name w:val="Unresolved Mention"/>
    <w:basedOn w:val="DefaultParagraphFont"/>
    <w:uiPriority w:val="99"/>
    <w:semiHidden/>
    <w:unhideWhenUsed/>
    <w:rsid w:val="00993AC9"/>
    <w:rPr>
      <w:color w:val="605E5C"/>
      <w:shd w:val="clear" w:color="auto" w:fill="E1DFDD"/>
    </w:rPr>
  </w:style>
  <w:style w:type="character" w:styleId="Mention">
    <w:name w:val="Mention"/>
    <w:basedOn w:val="DefaultParagraphFont"/>
    <w:uiPriority w:val="99"/>
    <w:unhideWhenUsed/>
    <w:rsid w:val="000F08F9"/>
    <w:rPr>
      <w:color w:val="2B579A"/>
      <w:shd w:val="clear" w:color="auto" w:fill="E1DFDD"/>
    </w:rPr>
  </w:style>
  <w:style w:type="paragraph" w:customStyle="1" w:styleId="Reftext">
    <w:name w:val="Ref_text"/>
    <w:basedOn w:val="Normal"/>
    <w:rsid w:val="00B46F28"/>
    <w:pPr>
      <w:tabs>
        <w:tab w:val="left" w:pos="1134"/>
        <w:tab w:val="left" w:pos="1871"/>
        <w:tab w:val="left" w:pos="2268"/>
      </w:tabs>
      <w:overflowPunct w:val="0"/>
      <w:autoSpaceDE w:val="0"/>
      <w:autoSpaceDN w:val="0"/>
      <w:adjustRightInd w:val="0"/>
      <w:spacing w:before="120"/>
      <w:ind w:left="1134" w:hanging="1134"/>
      <w:textAlignment w:val="baseline"/>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meetingdoc.asp?lang=en&amp;parent=R23-WP5D-C-0218"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md/meetingdoc.asp?lang=en&amp;parent=R23-WP5D-C-0066" TargetMode="External"/><Relationship Id="rId17" Type="http://schemas.openxmlformats.org/officeDocument/2006/relationships/hyperlink" Target="https://www.3gpp.org/ftp/Specs/archive/38_series/38.864/38864-i10.zip" TargetMode="External"/><Relationship Id="rId2" Type="http://schemas.openxmlformats.org/officeDocument/2006/relationships/customXml" Target="../customXml/item2.xml"/><Relationship Id="rId16" Type="http://schemas.openxmlformats.org/officeDocument/2006/relationships/hyperlink" Target="https://www.itu.int/md/meetingdoc.asp?lang=en&amp;parent=R15-IMT.2020-C-0029"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pub/R-REP-M/publications.aspx?lang=en&amp;parent=R-REP-M.2410" TargetMode="External"/><Relationship Id="rId5" Type="http://schemas.openxmlformats.org/officeDocument/2006/relationships/styles" Target="styles.xml"/><Relationship Id="rId15" Type="http://schemas.openxmlformats.org/officeDocument/2006/relationships/hyperlink" Target="https://www.itu.int/pub/R-REP-M.2410-2017" TargetMode="External"/><Relationship Id="rId10" Type="http://schemas.openxmlformats.org/officeDocument/2006/relationships/hyperlink" Target="https://www.itu.int/rec/R-REC-M/recommendation.asp?lang=en&amp;parent=R-REC-M.2160" TargetMode="External"/><Relationship Id="rId19" Type="http://schemas.openxmlformats.org/officeDocument/2006/relationships/hyperlink" Target="https://www.itu.int/pub/R-REP-M/publications.aspx?lang=en&amp;parent=R-REP-M.241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meetingdoc.asp?lang=en&amp;parent=R23-WP5D-C-02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28D238-3053-4DB7-97EF-96493EEE0FCB}">
  <ds:schemaRefs>
    <ds:schemaRef ds:uri="http://schemas.microsoft.com/sharepoint/v3/contenttype/forms"/>
  </ds:schemaRefs>
</ds:datastoreItem>
</file>

<file path=customXml/itemProps2.xml><?xml version="1.0" encoding="utf-8"?>
<ds:datastoreItem xmlns:ds="http://schemas.openxmlformats.org/officeDocument/2006/customXml" ds:itemID="{123E7EB5-C8C9-4D96-946B-3E0981EE3C48}">
  <ds:schemaRefs>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 ds:uri="http://purl.org/dc/elements/1.1/"/>
    <ds:schemaRef ds:uri="http://schemas.microsoft.com/office/2006/documentManagement/types"/>
    <ds:schemaRef ds:uri="d8762117-8292-4133-b1c7-eab5c6487cfd"/>
    <ds:schemaRef ds:uri="2f282d3b-eb4a-4b09-b61f-b9593442e286"/>
    <ds:schemaRef ds:uri="http://schemas.microsoft.com/office/infopath/2007/PartnerControls"/>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A9612C5B-B81C-4FD0-934D-2ECF811FA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2735</Words>
  <Characters>15862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Johan Sköld</cp:lastModifiedBy>
  <cp:revision>11</cp:revision>
  <cp:lastPrinted>2001-04-23T09:30:00Z</cp:lastPrinted>
  <dcterms:created xsi:type="dcterms:W3CDTF">2024-08-30T08:42:00Z</dcterms:created>
  <dcterms:modified xsi:type="dcterms:W3CDTF">2024-09-02T11:25:00Z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